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C8A" w:rsidRDefault="00784E9C">
      <w:pPr>
        <w:rPr>
          <w:rFonts w:ascii="Arial" w:eastAsia="Arial" w:hAnsi="Arial" w:cs="Arial"/>
          <w:b/>
          <w:i/>
          <w:sz w:val="24"/>
          <w:szCs w:val="24"/>
          <w:highlight w:val="yellow"/>
        </w:rPr>
      </w:pPr>
      <w:bookmarkStart w:id="0" w:name="_heading=h.4i7ojhp" w:colFirst="0" w:colLast="0"/>
      <w:bookmarkEnd w:id="0"/>
      <w:r>
        <w:rPr>
          <w:rFonts w:ascii="Arial" w:eastAsia="Arial" w:hAnsi="Arial" w:cs="Arial"/>
          <w:b/>
          <w:color w:val="000000"/>
          <w:sz w:val="36"/>
          <w:szCs w:val="36"/>
        </w:rPr>
        <w:t>Schedule 20 (</w:t>
      </w:r>
      <w:r>
        <w:rPr>
          <w:rFonts w:ascii="Arial" w:eastAsia="Arial" w:hAnsi="Arial" w:cs="Arial"/>
          <w:b/>
          <w:sz w:val="36"/>
          <w:szCs w:val="36"/>
        </w:rPr>
        <w:t>Processing</w:t>
      </w:r>
      <w:r>
        <w:rPr>
          <w:rFonts w:ascii="Arial" w:eastAsia="Arial" w:hAnsi="Arial" w:cs="Arial"/>
          <w:b/>
          <w:color w:val="000000"/>
          <w:sz w:val="36"/>
          <w:szCs w:val="36"/>
        </w:rPr>
        <w:t xml:space="preserve"> Data)</w:t>
      </w:r>
    </w:p>
    <w:p w:rsidR="00E45C8A" w:rsidRDefault="00784E9C">
      <w:pPr>
        <w:keepNext/>
        <w:numPr>
          <w:ilvl w:val="0"/>
          <w:numId w:val="1"/>
        </w:numPr>
        <w:pBdr>
          <w:top w:val="nil"/>
          <w:left w:val="nil"/>
          <w:bottom w:val="nil"/>
          <w:right w:val="nil"/>
          <w:between w:val="nil"/>
        </w:pBdr>
        <w:spacing w:before="120" w:after="240" w:line="240" w:lineRule="auto"/>
        <w:rPr>
          <w:color w:val="000000"/>
          <w:sz w:val="24"/>
          <w:szCs w:val="24"/>
        </w:rPr>
      </w:pPr>
      <w:bookmarkStart w:id="1" w:name="_heading=h.s1nx8ejsbzlu" w:colFirst="0" w:colLast="0"/>
      <w:bookmarkEnd w:id="1"/>
      <w:r>
        <w:rPr>
          <w:rFonts w:ascii="Arial" w:eastAsia="Arial" w:hAnsi="Arial" w:cs="Arial"/>
          <w:b/>
          <w:color w:val="000000"/>
          <w:sz w:val="24"/>
          <w:szCs w:val="24"/>
        </w:rPr>
        <w:t>Status of the Controller</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"Controller" in respect of the other Party who is "Processor";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"Processor" in respect of the other Party who is "Controller";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"Joint Controller" with the other Party;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"Independent Controller" of the Personal Data where the other Party is also "Controller",</w:t>
      </w:r>
    </w:p>
    <w:p w:rsidR="00E45C8A" w:rsidRDefault="00784E9C">
      <w:pPr>
        <w:pBdr>
          <w:top w:val="nil"/>
          <w:left w:val="nil"/>
          <w:bottom w:val="nil"/>
          <w:right w:val="nil"/>
          <w:between w:val="nil"/>
        </w:pBdr>
        <w:spacing w:before="120" w:after="120" w:line="240" w:lineRule="auto"/>
        <w:ind w:left="907"/>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w:t>
      </w:r>
      <w:r>
        <w:rPr>
          <w:rFonts w:ascii="Arial" w:eastAsia="Arial" w:hAnsi="Arial" w:cs="Arial"/>
          <w:color w:val="000000"/>
          <w:sz w:val="24"/>
          <w:szCs w:val="24"/>
        </w:rPr>
        <w:t>1</w:t>
      </w:r>
      <w:r>
        <w:rPr>
          <w:rFonts w:ascii="Arial" w:eastAsia="Arial" w:hAnsi="Arial" w:cs="Arial"/>
          <w:sz w:val="24"/>
          <w:szCs w:val="24"/>
        </w:rPr>
        <w:t xml:space="preserve"> </w:t>
      </w:r>
      <w:r>
        <w:rPr>
          <w:rFonts w:ascii="Arial" w:eastAsia="Arial" w:hAnsi="Arial" w:cs="Arial"/>
          <w:i/>
          <w:sz w:val="24"/>
          <w:szCs w:val="24"/>
        </w:rPr>
        <w:t>(</w:t>
      </w:r>
      <w:r>
        <w:rPr>
          <w:rFonts w:ascii="Arial" w:eastAsia="Arial" w:hAnsi="Arial" w:cs="Arial"/>
          <w:sz w:val="24"/>
          <w:szCs w:val="24"/>
        </w:rPr>
        <w:t>Processing Personal Data</w:t>
      </w:r>
      <w:r>
        <w:rPr>
          <w:rFonts w:ascii="Arial" w:eastAsia="Arial" w:hAnsi="Arial" w:cs="Arial"/>
          <w:i/>
          <w:sz w:val="24"/>
          <w:szCs w:val="24"/>
        </w:rPr>
        <w:t>)</w:t>
      </w:r>
      <w:r>
        <w:rPr>
          <w:rFonts w:ascii="Arial" w:eastAsia="Arial" w:hAnsi="Arial" w:cs="Arial"/>
          <w:sz w:val="24"/>
          <w:szCs w:val="24"/>
        </w:rPr>
        <w:t xml:space="preserve"> which scenario they think shall apply in each situation. </w:t>
      </w:r>
    </w:p>
    <w:p w:rsidR="00E45C8A" w:rsidRDefault="00784E9C">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 xml:space="preserve">Where one Party is Controller and the other Party its Processor </w:t>
      </w:r>
    </w:p>
    <w:p w:rsidR="00E45C8A" w:rsidRDefault="00784E9C">
      <w:pPr>
        <w:numPr>
          <w:ilvl w:val="1"/>
          <w:numId w:val="1"/>
        </w:numPr>
        <w:pBdr>
          <w:top w:val="nil"/>
          <w:left w:val="nil"/>
          <w:bottom w:val="nil"/>
          <w:right w:val="nil"/>
          <w:between w:val="nil"/>
        </w:pBdr>
        <w:spacing w:before="120" w:after="120" w:line="240" w:lineRule="auto"/>
      </w:pPr>
      <w:bookmarkStart w:id="3" w:name="_heading=h.3znysh7" w:colFirst="0" w:colLast="0"/>
      <w:bookmarkEnd w:id="3"/>
      <w:r>
        <w:rPr>
          <w:rFonts w:ascii="Arial" w:eastAsia="Arial" w:hAnsi="Arial" w:cs="Arial"/>
          <w:color w:val="000000"/>
          <w:sz w:val="24"/>
          <w:szCs w:val="24"/>
        </w:rPr>
        <w:t xml:space="preserve">Where a Party is a Processor, the only Processing that it is authorised to do is listed in </w:t>
      </w:r>
      <w:r>
        <w:rPr>
          <w:rFonts w:ascii="Arial" w:eastAsia="Arial" w:hAnsi="Arial" w:cs="Arial"/>
          <w:sz w:val="24"/>
          <w:szCs w:val="24"/>
        </w:rPr>
        <w:t xml:space="preserve">Annex </w:t>
      </w:r>
      <w:r>
        <w:rPr>
          <w:rFonts w:ascii="Arial" w:eastAsia="Arial" w:hAnsi="Arial" w:cs="Arial"/>
          <w:color w:val="000000"/>
          <w:sz w:val="24"/>
          <w:szCs w:val="24"/>
        </w:rPr>
        <w:t>1</w:t>
      </w:r>
      <w:r>
        <w:rPr>
          <w:rFonts w:ascii="Arial" w:eastAsia="Arial" w:hAnsi="Arial" w:cs="Arial"/>
          <w:sz w:val="24"/>
          <w:szCs w:val="24"/>
        </w:rPr>
        <w:t xml:space="preserve"> </w:t>
      </w:r>
      <w:r>
        <w:rPr>
          <w:rFonts w:ascii="Arial" w:eastAsia="Arial" w:hAnsi="Arial" w:cs="Arial"/>
          <w:i/>
          <w:sz w:val="24"/>
          <w:szCs w:val="24"/>
        </w:rPr>
        <w:t>(</w:t>
      </w:r>
      <w:r>
        <w:rPr>
          <w:rFonts w:ascii="Arial" w:eastAsia="Arial" w:hAnsi="Arial" w:cs="Arial"/>
          <w:sz w:val="24"/>
          <w:szCs w:val="24"/>
        </w:rPr>
        <w:t>Processing Personal Data</w:t>
      </w:r>
      <w:r>
        <w:rPr>
          <w:rFonts w:ascii="Arial" w:eastAsia="Arial" w:hAnsi="Arial" w:cs="Arial"/>
          <w:color w:val="000000"/>
          <w:sz w:val="24"/>
          <w:szCs w:val="24"/>
        </w:rPr>
        <w:t xml:space="preserve">) by the Controller and may not be determined by the Processor. </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notify the Controller immediately if it considers that any of the Controller’s instructions infringe the Data Protection Legislation.</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 systematic description of the envisaged Processing and the purpose of the Processing;</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an assessment of the necessity and proportionality of the Processing in relation to the Services;</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an assessment of the risks to the rights and freedoms of Data Subjects; and</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measures envisaged to address the risks, including safeguards, security measures and mechanisms to ensure the protection of Personal Data.</w:t>
      </w:r>
    </w:p>
    <w:p w:rsidR="00E45C8A" w:rsidRDefault="00784E9C">
      <w:pPr>
        <w:keepNext/>
        <w:numPr>
          <w:ilvl w:val="1"/>
          <w:numId w:val="1"/>
        </w:numPr>
        <w:pBdr>
          <w:top w:val="nil"/>
          <w:left w:val="nil"/>
          <w:bottom w:val="nil"/>
          <w:right w:val="nil"/>
          <w:between w:val="nil"/>
        </w:pBdr>
        <w:spacing w:before="120" w:after="120" w:line="240" w:lineRule="auto"/>
      </w:pPr>
      <w:bookmarkStart w:id="4" w:name="bookmark=id.30j0zll" w:colFirst="0" w:colLast="0"/>
      <w:bookmarkEnd w:id="4"/>
      <w:r>
        <w:rPr>
          <w:rFonts w:ascii="Arial" w:eastAsia="Arial" w:hAnsi="Arial" w:cs="Arial"/>
          <w:color w:val="000000"/>
          <w:sz w:val="24"/>
          <w:szCs w:val="24"/>
        </w:rPr>
        <w:t>The Processor shall, in relation to any Personal Data Processed in connection with its obligations under this Contract:</w:t>
      </w:r>
    </w:p>
    <w:p w:rsidR="00E45C8A" w:rsidRDefault="00784E9C">
      <w:pPr>
        <w:numPr>
          <w:ilvl w:val="2"/>
          <w:numId w:val="1"/>
        </w:numPr>
        <w:pBdr>
          <w:top w:val="nil"/>
          <w:left w:val="nil"/>
          <w:bottom w:val="nil"/>
          <w:right w:val="nil"/>
          <w:between w:val="nil"/>
        </w:pBdr>
        <w:spacing w:before="120" w:after="120" w:line="240" w:lineRule="auto"/>
      </w:pPr>
      <w:bookmarkStart w:id="5" w:name="bookmark=id.1fob9te" w:colFirst="0" w:colLast="0"/>
      <w:bookmarkEnd w:id="5"/>
      <w:r>
        <w:rPr>
          <w:rFonts w:ascii="Arial" w:eastAsia="Arial" w:hAnsi="Arial" w:cs="Arial"/>
          <w:color w:val="000000"/>
          <w:sz w:val="24"/>
          <w:szCs w:val="24"/>
        </w:rPr>
        <w:t xml:space="preserve">process that Personal Data only in accordance with Annex 1 </w:t>
      </w:r>
      <w:r>
        <w:rPr>
          <w:rFonts w:ascii="Arial" w:eastAsia="Arial" w:hAnsi="Arial" w:cs="Arial"/>
          <w:i/>
          <w:color w:val="000000"/>
          <w:sz w:val="24"/>
          <w:szCs w:val="24"/>
        </w:rPr>
        <w:t>(</w:t>
      </w:r>
      <w:r>
        <w:rPr>
          <w:rFonts w:ascii="Arial" w:eastAsia="Arial" w:hAnsi="Arial" w:cs="Arial"/>
          <w:color w:val="000000"/>
          <w:sz w:val="24"/>
          <w:szCs w:val="24"/>
        </w:rPr>
        <w:t>Processing Personal Data) unless the Processor is required to do otherwise by Law. If it is so required the Processor shall promptly notify the Controller before Processing the Personal Data unless prohibited by Law;</w:t>
      </w:r>
    </w:p>
    <w:p w:rsidR="00E45C8A" w:rsidRDefault="00784E9C">
      <w:pPr>
        <w:keepNext/>
        <w:numPr>
          <w:ilvl w:val="2"/>
          <w:numId w:val="1"/>
        </w:numPr>
        <w:pBdr>
          <w:top w:val="nil"/>
          <w:left w:val="nil"/>
          <w:bottom w:val="nil"/>
          <w:right w:val="nil"/>
          <w:between w:val="nil"/>
        </w:pBdr>
        <w:spacing w:before="120" w:after="120" w:line="240" w:lineRule="auto"/>
      </w:pPr>
      <w:bookmarkStart w:id="6" w:name="bookmark=id.3znysh7" w:colFirst="0" w:colLast="0"/>
      <w:bookmarkEnd w:id="6"/>
      <w:r>
        <w:rPr>
          <w:rFonts w:ascii="Arial" w:eastAsia="Arial" w:hAnsi="Arial" w:cs="Arial"/>
          <w:color w:val="000000"/>
          <w:sz w:val="24"/>
          <w:szCs w:val="24"/>
        </w:rPr>
        <w:lastRenderedPageBreak/>
        <w:t>ensure that it has in place Protective Measures, including in the case of the Supplier the measures set out in Clause 18.4 of the Core Terms</w:t>
      </w:r>
      <w:r>
        <w:rPr>
          <w:rFonts w:ascii="Arial" w:eastAsia="Arial" w:hAnsi="Arial" w:cs="Arial"/>
          <w:i/>
          <w:color w:val="000000"/>
          <w:sz w:val="24"/>
          <w:szCs w:val="24"/>
        </w:rPr>
        <w:t>,</w:t>
      </w:r>
      <w:r>
        <w:rPr>
          <w:rFonts w:ascii="Arial" w:eastAsia="Arial" w:hAnsi="Arial" w:cs="Arial"/>
          <w:color w:val="000000"/>
          <w:sz w:val="24"/>
          <w:szCs w:val="24"/>
        </w:rPr>
        <w:t xml:space="preserve"> which the Controller may reasonably reject (but failure to reject shall not amount to approval by the Controller of the adequacy of the Protective Measures) having taken account of the:</w:t>
      </w:r>
    </w:p>
    <w:p w:rsidR="00E45C8A" w:rsidRDefault="00784E9C">
      <w:pPr>
        <w:numPr>
          <w:ilvl w:val="3"/>
          <w:numId w:val="1"/>
        </w:numPr>
        <w:pBdr>
          <w:top w:val="nil"/>
          <w:left w:val="nil"/>
          <w:bottom w:val="nil"/>
          <w:right w:val="nil"/>
          <w:between w:val="nil"/>
        </w:pBdr>
        <w:spacing w:before="120" w:after="120"/>
        <w:ind w:left="2609" w:hanging="851"/>
        <w:jc w:val="both"/>
        <w:rPr>
          <w:rFonts w:ascii="Arial" w:eastAsia="Arial" w:hAnsi="Arial" w:cs="Arial"/>
          <w:color w:val="000000"/>
          <w:sz w:val="24"/>
          <w:szCs w:val="24"/>
        </w:rPr>
      </w:pPr>
      <w:r>
        <w:rPr>
          <w:rFonts w:ascii="Arial" w:eastAsia="Arial" w:hAnsi="Arial" w:cs="Arial"/>
          <w:color w:val="000000"/>
          <w:sz w:val="24"/>
          <w:szCs w:val="24"/>
        </w:rPr>
        <w:t>nature of the data to be protected;</w:t>
      </w:r>
      <w:bookmarkStart w:id="7" w:name="bookmark=id.2et92p0" w:colFirst="0" w:colLast="0"/>
      <w:bookmarkEnd w:id="7"/>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harm that might result from a Data Loss Event;</w:t>
      </w:r>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state of technological development; and</w:t>
      </w:r>
    </w:p>
    <w:p w:rsidR="00E45C8A" w:rsidRDefault="00784E9C">
      <w:pPr>
        <w:numPr>
          <w:ilvl w:val="3"/>
          <w:numId w:val="1"/>
        </w:numPr>
        <w:pBdr>
          <w:top w:val="nil"/>
          <w:left w:val="nil"/>
          <w:bottom w:val="nil"/>
          <w:right w:val="nil"/>
          <w:between w:val="nil"/>
        </w:pBdr>
        <w:spacing w:before="120" w:after="120" w:line="240" w:lineRule="auto"/>
        <w:ind w:hanging="849"/>
        <w:rPr>
          <w:color w:val="000000"/>
          <w:sz w:val="24"/>
          <w:szCs w:val="24"/>
        </w:rPr>
      </w:pPr>
      <w:r>
        <w:rPr>
          <w:rFonts w:ascii="Arial" w:eastAsia="Arial" w:hAnsi="Arial" w:cs="Arial"/>
          <w:color w:val="000000"/>
          <w:sz w:val="24"/>
          <w:szCs w:val="24"/>
        </w:rPr>
        <w:t>cost of implementing any measures.</w:t>
      </w:r>
    </w:p>
    <w:p w:rsidR="00E45C8A" w:rsidRDefault="00784E9C">
      <w:pPr>
        <w:keepNext/>
        <w:numPr>
          <w:ilvl w:val="2"/>
          <w:numId w:val="1"/>
        </w:numPr>
        <w:pBdr>
          <w:top w:val="nil"/>
          <w:left w:val="nil"/>
          <w:bottom w:val="nil"/>
          <w:right w:val="nil"/>
          <w:between w:val="nil"/>
        </w:pBdr>
        <w:spacing w:before="120" w:after="120" w:line="240" w:lineRule="auto"/>
      </w:pPr>
      <w:bookmarkStart w:id="8" w:name="bookmark=id.tyjcwt" w:colFirst="0" w:colLast="0"/>
      <w:bookmarkEnd w:id="8"/>
      <w:r>
        <w:rPr>
          <w:rFonts w:ascii="Arial" w:eastAsia="Arial" w:hAnsi="Arial" w:cs="Arial"/>
          <w:color w:val="000000"/>
          <w:sz w:val="24"/>
          <w:szCs w:val="24"/>
        </w:rPr>
        <w:t>ensure that:</w:t>
      </w:r>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Processor Personnel do not Process Personal Data except in accordance with this Contract (and in particular Annex 1</w:t>
      </w:r>
      <w:r>
        <w:rPr>
          <w:rFonts w:ascii="Arial" w:eastAsia="Arial" w:hAnsi="Arial" w:cs="Arial"/>
          <w:i/>
          <w:color w:val="000000"/>
          <w:sz w:val="24"/>
          <w:szCs w:val="24"/>
        </w:rPr>
        <w:t xml:space="preserve"> (</w:t>
      </w:r>
      <w:r>
        <w:rPr>
          <w:rFonts w:ascii="Arial" w:eastAsia="Arial" w:hAnsi="Arial" w:cs="Arial"/>
          <w:color w:val="000000"/>
          <w:sz w:val="24"/>
          <w:szCs w:val="24"/>
        </w:rPr>
        <w:t>Processing Personal Data));</w:t>
      </w:r>
    </w:p>
    <w:p w:rsidR="00E45C8A" w:rsidRDefault="00784E9C">
      <w:pPr>
        <w:keepNext/>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it uses best endeavours to ensure the reliability and integrity of any Processor Personnel who have access to the Personal Data and ensure that they:</w:t>
      </w:r>
    </w:p>
    <w:p w:rsidR="00E45C8A" w:rsidRDefault="00784E9C">
      <w:pPr>
        <w:numPr>
          <w:ilvl w:val="4"/>
          <w:numId w:val="1"/>
        </w:numPr>
        <w:pBdr>
          <w:top w:val="nil"/>
          <w:left w:val="nil"/>
          <w:bottom w:val="nil"/>
          <w:right w:val="nil"/>
          <w:between w:val="nil"/>
        </w:pBdr>
        <w:spacing w:before="120" w:after="120" w:line="240" w:lineRule="auto"/>
        <w:ind w:hanging="705"/>
      </w:pPr>
      <w:r>
        <w:rPr>
          <w:rFonts w:ascii="Arial" w:eastAsia="Arial" w:hAnsi="Arial" w:cs="Arial"/>
          <w:color w:val="000000"/>
          <w:sz w:val="24"/>
          <w:szCs w:val="24"/>
        </w:rPr>
        <w:t>are aware of and comply with the Processor’s duties under this Schedule 20, Clauses 18 (Data protection), 19 (What you must keep confidential) and 20 (When you can share information);</w:t>
      </w:r>
    </w:p>
    <w:p w:rsidR="00E45C8A" w:rsidRDefault="00784E9C">
      <w:pPr>
        <w:numPr>
          <w:ilvl w:val="4"/>
          <w:numId w:val="1"/>
        </w:numPr>
        <w:pBdr>
          <w:top w:val="nil"/>
          <w:left w:val="nil"/>
          <w:bottom w:val="nil"/>
          <w:right w:val="nil"/>
          <w:between w:val="nil"/>
        </w:pBdr>
        <w:spacing w:before="120" w:after="120" w:line="240" w:lineRule="auto"/>
        <w:ind w:hanging="705"/>
      </w:pPr>
      <w:r>
        <w:rPr>
          <w:rFonts w:ascii="Arial" w:eastAsia="Arial" w:hAnsi="Arial" w:cs="Arial"/>
          <w:color w:val="000000"/>
          <w:sz w:val="24"/>
          <w:szCs w:val="24"/>
        </w:rPr>
        <w:t xml:space="preserve">are subject to appropriate confidentiality undertakings with the Processor or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w:t>
      </w:r>
    </w:p>
    <w:p w:rsidR="00E45C8A" w:rsidRDefault="00784E9C">
      <w:pPr>
        <w:numPr>
          <w:ilvl w:val="4"/>
          <w:numId w:val="1"/>
        </w:numPr>
        <w:pBdr>
          <w:top w:val="nil"/>
          <w:left w:val="nil"/>
          <w:bottom w:val="nil"/>
          <w:right w:val="nil"/>
          <w:between w:val="nil"/>
        </w:pBdr>
        <w:spacing w:before="120" w:after="120" w:line="240" w:lineRule="auto"/>
        <w:ind w:hanging="705"/>
      </w:pPr>
      <w:r>
        <w:rPr>
          <w:rFonts w:ascii="Arial" w:eastAsia="Arial" w:hAnsi="Arial" w:cs="Arial"/>
          <w:color w:val="000000"/>
          <w:sz w:val="24"/>
          <w:szCs w:val="24"/>
        </w:rPr>
        <w:t>are informed of the confidential nature of the Personal Data and do not publish, disclose or divulge any of the Personal Data to any third party unless directed in writing to do so by the Controller or as otherwise permitted by this Contract; and</w:t>
      </w:r>
    </w:p>
    <w:p w:rsidR="00E45C8A" w:rsidRDefault="00784E9C">
      <w:pPr>
        <w:numPr>
          <w:ilvl w:val="4"/>
          <w:numId w:val="1"/>
        </w:numPr>
        <w:pBdr>
          <w:top w:val="nil"/>
          <w:left w:val="nil"/>
          <w:bottom w:val="nil"/>
          <w:right w:val="nil"/>
          <w:between w:val="nil"/>
        </w:pBdr>
        <w:spacing w:before="120" w:after="120" w:line="240" w:lineRule="auto"/>
        <w:ind w:hanging="705"/>
      </w:pPr>
      <w:r>
        <w:rPr>
          <w:rFonts w:ascii="Arial" w:eastAsia="Arial" w:hAnsi="Arial" w:cs="Arial"/>
          <w:color w:val="000000"/>
          <w:sz w:val="24"/>
          <w:szCs w:val="24"/>
        </w:rPr>
        <w:t xml:space="preserve">have undergone adequate training in the use, care, protection and handling of Personal Data; </w:t>
      </w:r>
    </w:p>
    <w:p w:rsidR="00E45C8A" w:rsidRDefault="00784E9C">
      <w:pPr>
        <w:keepNext/>
        <w:numPr>
          <w:ilvl w:val="2"/>
          <w:numId w:val="1"/>
        </w:numPr>
        <w:pBdr>
          <w:top w:val="nil"/>
          <w:left w:val="nil"/>
          <w:bottom w:val="nil"/>
          <w:right w:val="nil"/>
          <w:between w:val="nil"/>
        </w:pBdr>
        <w:spacing w:before="120" w:after="120" w:line="240" w:lineRule="auto"/>
      </w:pPr>
      <w:bookmarkStart w:id="9" w:name="bookmark=id.3dy6vkm" w:colFirst="0" w:colLast="0"/>
      <w:bookmarkEnd w:id="9"/>
      <w:r>
        <w:rPr>
          <w:rFonts w:ascii="Arial" w:eastAsia="Arial" w:hAnsi="Arial" w:cs="Arial"/>
          <w:color w:val="000000"/>
          <w:sz w:val="24"/>
          <w:szCs w:val="24"/>
        </w:rPr>
        <w:t>not transfer Personal Data outside of the UK and/or the EEA unless the prior written consent of the Controller has been obtained and the following conditions are fulfilled:</w:t>
      </w:r>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the destination country has been recognised as adequate by the UK government in accordance with Article 45 of the UK GDPR (or section 74A of DPA 2018) and/or the transfer is in accordance with Article 45 of the EU GDPR (where applicable); or</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rPr>
      </w:pPr>
      <w:r>
        <w:rPr>
          <w:rFonts w:ascii="Arial" w:eastAsia="Arial" w:hAnsi="Arial" w:cs="Arial"/>
          <w:color w:val="000000"/>
          <w:sz w:val="24"/>
          <w:szCs w:val="24"/>
        </w:rPr>
        <w:t>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rsidR="00E45C8A" w:rsidRDefault="00784E9C">
      <w:pPr>
        <w:numPr>
          <w:ilvl w:val="4"/>
          <w:numId w:val="1"/>
        </w:numPr>
        <w:pBdr>
          <w:top w:val="nil"/>
          <w:left w:val="nil"/>
          <w:bottom w:val="nil"/>
          <w:right w:val="nil"/>
          <w:between w:val="nil"/>
        </w:pBdr>
        <w:spacing w:before="120" w:after="120" w:line="240" w:lineRule="auto"/>
        <w:ind w:hanging="705"/>
        <w:rPr>
          <w:rFonts w:ascii="Arial" w:eastAsia="Arial" w:hAnsi="Arial" w:cs="Arial"/>
        </w:rPr>
      </w:pPr>
      <w:r>
        <w:rPr>
          <w:rFonts w:ascii="Arial" w:eastAsia="Arial" w:hAnsi="Arial" w:cs="Arial"/>
          <w:color w:val="000000"/>
          <w:sz w:val="24"/>
          <w:szCs w:val="24"/>
        </w:rPr>
        <w:lastRenderedPageBreak/>
        <w:t>where the transfer is subject to UK GDPR:</w:t>
      </w:r>
    </w:p>
    <w:p w:rsidR="00E45C8A" w:rsidRDefault="00784E9C">
      <w:pPr>
        <w:numPr>
          <w:ilvl w:val="5"/>
          <w:numId w:val="1"/>
        </w:numPr>
        <w:pBdr>
          <w:top w:val="nil"/>
          <w:left w:val="nil"/>
          <w:bottom w:val="nil"/>
          <w:right w:val="nil"/>
          <w:between w:val="nil"/>
        </w:pBdr>
        <w:spacing w:before="120" w:after="120" w:line="240" w:lineRule="auto"/>
        <w:ind w:left="4230" w:hanging="968"/>
      </w:pPr>
      <w:bookmarkStart w:id="10" w:name="_heading=h.z5k0m0x42jau" w:colFirst="0" w:colLast="0"/>
      <w:bookmarkEnd w:id="10"/>
      <w:r>
        <w:rPr>
          <w:rFonts w:ascii="Arial" w:eastAsia="Arial" w:hAnsi="Arial" w:cs="Arial"/>
          <w:color w:val="000000"/>
          <w:sz w:val="24"/>
          <w:szCs w:val="24"/>
        </w:rPr>
        <w:t>the International Data Transfer Agreement issued by the Information Commissioner under S119</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1) of the DPA 2018 (the "</w:t>
      </w:r>
      <w:r>
        <w:rPr>
          <w:rFonts w:ascii="Arial" w:eastAsia="Arial" w:hAnsi="Arial" w:cs="Arial"/>
          <w:b/>
          <w:color w:val="000000"/>
          <w:sz w:val="24"/>
          <w:szCs w:val="24"/>
        </w:rPr>
        <w:t>IDTA</w:t>
      </w:r>
      <w:r>
        <w:rPr>
          <w:rFonts w:ascii="Arial" w:eastAsia="Arial" w:hAnsi="Arial" w:cs="Arial"/>
          <w:color w:val="000000"/>
          <w:sz w:val="24"/>
          <w:szCs w:val="24"/>
        </w:rPr>
        <w:t>"); or</w:t>
      </w:r>
    </w:p>
    <w:p w:rsidR="00E45C8A" w:rsidRDefault="00784E9C">
      <w:pPr>
        <w:numPr>
          <w:ilvl w:val="5"/>
          <w:numId w:val="1"/>
        </w:numPr>
        <w:pBdr>
          <w:top w:val="nil"/>
          <w:left w:val="nil"/>
          <w:bottom w:val="nil"/>
          <w:right w:val="nil"/>
          <w:between w:val="nil"/>
        </w:pBdr>
        <w:spacing w:before="120" w:after="120" w:line="240" w:lineRule="auto"/>
        <w:ind w:left="4230" w:hanging="968"/>
      </w:pPr>
      <w:bookmarkStart w:id="11" w:name="_heading=h.m4rlzh4gigol" w:colFirst="0" w:colLast="0"/>
      <w:bookmarkEnd w:id="11"/>
      <w:r>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w:t>
      </w:r>
      <w:r>
        <w:rPr>
          <w:rFonts w:ascii="Arial" w:eastAsia="Arial" w:hAnsi="Arial" w:cs="Arial"/>
          <w:b/>
          <w:color w:val="000000"/>
          <w:sz w:val="24"/>
          <w:szCs w:val="24"/>
        </w:rPr>
        <w:t>EU SCCs</w:t>
      </w:r>
      <w:r>
        <w:rPr>
          <w:rFonts w:ascii="Arial" w:eastAsia="Arial" w:hAnsi="Arial" w:cs="Arial"/>
          <w:color w:val="000000"/>
          <w:sz w:val="24"/>
          <w:szCs w:val="24"/>
        </w:rPr>
        <w:t>") together with the UK International Data Transfer Agreement Addendum to the EU SCCs (the "</w:t>
      </w:r>
      <w:r>
        <w:rPr>
          <w:rFonts w:ascii="Arial" w:eastAsia="Arial" w:hAnsi="Arial" w:cs="Arial"/>
          <w:b/>
          <w:color w:val="000000"/>
          <w:sz w:val="24"/>
          <w:szCs w:val="24"/>
        </w:rPr>
        <w:t>Addendum</w:t>
      </w:r>
      <w:r>
        <w:rPr>
          <w:rFonts w:ascii="Arial" w:eastAsia="Arial" w:hAnsi="Arial" w:cs="Arial"/>
          <w:color w:val="000000"/>
          <w:sz w:val="24"/>
          <w:szCs w:val="24"/>
        </w:rPr>
        <w:t>"), as published by the Information Commissioner’s Office from time to time under section 119</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1) of the DPA 2018; and/or</w:t>
      </w:r>
    </w:p>
    <w:p w:rsidR="00E45C8A" w:rsidRDefault="00784E9C">
      <w:pPr>
        <w:numPr>
          <w:ilvl w:val="4"/>
          <w:numId w:val="1"/>
        </w:numPr>
        <w:pBdr>
          <w:top w:val="nil"/>
          <w:left w:val="nil"/>
          <w:bottom w:val="nil"/>
          <w:right w:val="nil"/>
          <w:between w:val="nil"/>
        </w:pBdr>
        <w:spacing w:before="120" w:after="120" w:line="240" w:lineRule="auto"/>
        <w:ind w:hanging="705"/>
        <w:rPr>
          <w:rFonts w:ascii="Arial" w:eastAsia="Arial" w:hAnsi="Arial" w:cs="Arial"/>
        </w:rPr>
      </w:pPr>
      <w:bookmarkStart w:id="12" w:name="_heading=h.mi3f4v8yc3o7" w:colFirst="0" w:colLast="0"/>
      <w:bookmarkEnd w:id="12"/>
      <w:r>
        <w:rPr>
          <w:rFonts w:ascii="Arial" w:eastAsia="Arial" w:hAnsi="Arial" w:cs="Arial"/>
          <w:color w:val="000000"/>
          <w:sz w:val="24"/>
          <w:szCs w:val="24"/>
        </w:rPr>
        <w:t>where the transfer is subject to EU GDPR, the EU SCCs,</w:t>
      </w:r>
    </w:p>
    <w:p w:rsidR="00E45C8A" w:rsidRDefault="00784E9C">
      <w:pPr>
        <w:pBdr>
          <w:top w:val="nil"/>
          <w:left w:val="nil"/>
          <w:bottom w:val="nil"/>
          <w:right w:val="nil"/>
          <w:between w:val="nil"/>
        </w:pBdr>
        <w:spacing w:before="120" w:after="120" w:line="240" w:lineRule="auto"/>
        <w:ind w:left="2606"/>
      </w:pPr>
      <w:bookmarkStart w:id="13" w:name="_heading=h.2et92p0" w:colFirst="0" w:colLast="0"/>
      <w:bookmarkEnd w:id="13"/>
      <w:r>
        <w:rPr>
          <w:rFonts w:ascii="Arial" w:eastAsia="Arial" w:hAnsi="Arial" w:cs="Arial"/>
          <w:color w:val="000000"/>
          <w:sz w:val="24"/>
          <w:szCs w:val="24"/>
        </w:rPr>
        <w:t>as well as any additional measures determined by the Controller being implemented by the importing party;</w:t>
      </w:r>
    </w:p>
    <w:p w:rsidR="00E45C8A" w:rsidRDefault="00784E9C">
      <w:pPr>
        <w:numPr>
          <w:ilvl w:val="3"/>
          <w:numId w:val="1"/>
        </w:numPr>
        <w:pBdr>
          <w:top w:val="nil"/>
          <w:left w:val="nil"/>
          <w:bottom w:val="nil"/>
          <w:right w:val="nil"/>
          <w:between w:val="nil"/>
        </w:pBdr>
        <w:spacing w:before="120" w:after="120" w:line="240" w:lineRule="auto"/>
        <w:ind w:hanging="849"/>
      </w:pPr>
      <w:bookmarkStart w:id="14" w:name="bookmark=id.4d34og8" w:colFirst="0" w:colLast="0"/>
      <w:bookmarkEnd w:id="14"/>
      <w:r>
        <w:rPr>
          <w:rFonts w:ascii="Arial" w:eastAsia="Arial" w:hAnsi="Arial" w:cs="Arial"/>
          <w:color w:val="000000"/>
          <w:sz w:val="24"/>
          <w:szCs w:val="24"/>
        </w:rPr>
        <w:t>the Data Subject has enforceable rights and effective legal remedies;</w:t>
      </w:r>
    </w:p>
    <w:p w:rsidR="00E45C8A" w:rsidRDefault="00784E9C">
      <w:pPr>
        <w:numPr>
          <w:ilvl w:val="3"/>
          <w:numId w:val="1"/>
        </w:numPr>
        <w:pBdr>
          <w:top w:val="nil"/>
          <w:left w:val="nil"/>
          <w:bottom w:val="nil"/>
          <w:right w:val="nil"/>
          <w:between w:val="nil"/>
        </w:pBdr>
        <w:spacing w:before="120" w:after="120" w:line="240" w:lineRule="auto"/>
        <w:ind w:hanging="849"/>
      </w:pPr>
      <w:bookmarkStart w:id="15" w:name="bookmark=id.2s8eyo1" w:colFirst="0" w:colLast="0"/>
      <w:bookmarkEnd w:id="15"/>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45C8A" w:rsidRDefault="00784E9C">
      <w:pPr>
        <w:numPr>
          <w:ilvl w:val="3"/>
          <w:numId w:val="1"/>
        </w:numPr>
        <w:pBdr>
          <w:top w:val="nil"/>
          <w:left w:val="nil"/>
          <w:bottom w:val="nil"/>
          <w:right w:val="nil"/>
          <w:between w:val="nil"/>
        </w:pBdr>
        <w:spacing w:before="120" w:after="120" w:line="240" w:lineRule="auto"/>
        <w:ind w:hanging="849"/>
      </w:pPr>
      <w:bookmarkStart w:id="16" w:name="bookmark=id.17dp8vu" w:colFirst="0" w:colLast="0"/>
      <w:bookmarkEnd w:id="16"/>
      <w:r>
        <w:rPr>
          <w:rFonts w:ascii="Arial" w:eastAsia="Arial" w:hAnsi="Arial" w:cs="Arial"/>
          <w:color w:val="000000"/>
          <w:sz w:val="24"/>
          <w:szCs w:val="24"/>
        </w:rPr>
        <w:t>the Processor complies with any reasonable instructions notified to it in advance by the Controller with respect to the Processing of the Personal Data.</w:t>
      </w:r>
    </w:p>
    <w:p w:rsidR="00E45C8A" w:rsidRDefault="00784E9C">
      <w:pPr>
        <w:numPr>
          <w:ilvl w:val="2"/>
          <w:numId w:val="1"/>
        </w:numPr>
        <w:pBdr>
          <w:top w:val="nil"/>
          <w:left w:val="nil"/>
          <w:bottom w:val="nil"/>
          <w:right w:val="nil"/>
          <w:between w:val="nil"/>
        </w:pBdr>
        <w:spacing w:before="120" w:after="120" w:line="240" w:lineRule="auto"/>
      </w:pPr>
      <w:bookmarkStart w:id="17" w:name="bookmark=id.3rdcrjn" w:colFirst="0" w:colLast="0"/>
      <w:bookmarkEnd w:id="17"/>
      <w:r>
        <w:rPr>
          <w:rFonts w:ascii="Arial" w:eastAsia="Arial" w:hAnsi="Arial" w:cs="Arial"/>
          <w:color w:val="000000"/>
          <w:sz w:val="24"/>
          <w:szCs w:val="24"/>
        </w:rPr>
        <w:t>at the written direction of the Controller, delete or return Personal Data (and any copies of it) to the Controller on termination of this Contract unless the Processor is required by Law to retain the Personal Data.</w:t>
      </w:r>
    </w:p>
    <w:p w:rsidR="00E45C8A" w:rsidRDefault="00784E9C">
      <w:pPr>
        <w:keepNext/>
        <w:numPr>
          <w:ilvl w:val="1"/>
          <w:numId w:val="1"/>
        </w:numPr>
        <w:pBdr>
          <w:top w:val="nil"/>
          <w:left w:val="nil"/>
          <w:bottom w:val="nil"/>
          <w:right w:val="nil"/>
          <w:between w:val="nil"/>
        </w:pBdr>
        <w:spacing w:before="120" w:after="120" w:line="240" w:lineRule="auto"/>
      </w:pPr>
      <w:bookmarkStart w:id="18" w:name="bookmark=id.26in1rg" w:colFirst="0" w:colLast="0"/>
      <w:bookmarkStart w:id="19" w:name="_heading=h.tyjcwt" w:colFirst="0" w:colLast="0"/>
      <w:bookmarkEnd w:id="18"/>
      <w:bookmarkEnd w:id="19"/>
      <w:r>
        <w:rPr>
          <w:rFonts w:ascii="Arial" w:eastAsia="Arial" w:hAnsi="Arial" w:cs="Arial"/>
          <w:color w:val="000000"/>
          <w:sz w:val="24"/>
          <w:szCs w:val="24"/>
        </w:rPr>
        <w:t>Subject to Paragraph 2.6 of this Schedule 20, the Processor shall notify the Controller immediately if in relation to it Processing Personal Data under or in connection with this Contract it:</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receives a Data Subject Access Request (or purported Data Subject Access Request);</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receives a request to rectify, block or erase any Personal Data;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receives any other request, complaint or communication relating to either Party's obligations under the Data Protection Legislation;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receives any communication from the Information Commissioner or any other regulatory authority in connection with Personal Data Processed under this Contract;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receives a request from any third Party for disclosure of Personal Data where compliance with such request is required or purported to be required by Law; or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becomes aware of a Data Loss Event.</w:t>
      </w:r>
    </w:p>
    <w:p w:rsidR="00E45C8A" w:rsidRDefault="00784E9C">
      <w:pPr>
        <w:numPr>
          <w:ilvl w:val="1"/>
          <w:numId w:val="1"/>
        </w:numPr>
        <w:pBdr>
          <w:top w:val="nil"/>
          <w:left w:val="nil"/>
          <w:bottom w:val="nil"/>
          <w:right w:val="nil"/>
          <w:between w:val="nil"/>
        </w:pBdr>
        <w:spacing w:before="120" w:after="120" w:line="240" w:lineRule="auto"/>
      </w:pPr>
      <w:bookmarkStart w:id="20" w:name="_heading=h.3dy6vkm" w:colFirst="0" w:colLast="0"/>
      <w:bookmarkEnd w:id="20"/>
      <w:r>
        <w:rPr>
          <w:rFonts w:ascii="Arial" w:eastAsia="Arial" w:hAnsi="Arial" w:cs="Arial"/>
          <w:color w:val="000000"/>
          <w:sz w:val="24"/>
          <w:szCs w:val="24"/>
        </w:rPr>
        <w:t xml:space="preserve">The Processor’s obligation to notify under Paragraph 2.5 of this Schedule 20 shall include the provision of further information to the Controller, as details become available. </w:t>
      </w:r>
    </w:p>
    <w:p w:rsidR="00E45C8A" w:rsidRDefault="00784E9C">
      <w:pPr>
        <w:keepNext/>
        <w:numPr>
          <w:ilvl w:val="1"/>
          <w:numId w:val="1"/>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Controller with full details and copies of the complaint, communication or request;</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such assistance as is reasonably requested by the Controller to enable it to comply with a Data Subject Access Request within the relevant timescales set out in the Data Protection Legislation;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Controller, at its request, with any Personal Data it holds in relation to a Data Subject;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assistance as requested by the Controller following any Data Loss Event; and/or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assistance as requested by the Controller with respect to any request from the Information Commissioner’s Office or any other regulatory authority, or any consultation by the Controller with the Information Commissioner's Office or any other regulatory authority.</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maintain complete and accurate records and information to demonstrate its compliance with this Schedule 20. This requirement does not apply where the Processor employs fewer than two hundred and fifty (250) staff, unless:</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Controller determines that the Processing is not occasional;</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Controller determines that the Processing is likely to result in a risk to the rights and freedoms of Data Subjects.</w:t>
      </w:r>
    </w:p>
    <w:p w:rsidR="00E45C8A" w:rsidRDefault="00784E9C">
      <w:pPr>
        <w:numPr>
          <w:ilvl w:val="1"/>
          <w:numId w:val="1"/>
        </w:numPr>
        <w:pBdr>
          <w:top w:val="nil"/>
          <w:left w:val="nil"/>
          <w:bottom w:val="nil"/>
          <w:right w:val="nil"/>
          <w:between w:val="nil"/>
        </w:pBdr>
        <w:spacing w:before="120" w:after="120" w:line="240" w:lineRule="auto"/>
      </w:pPr>
      <w:bookmarkStart w:id="21" w:name="bookmark=id.lnxbz9" w:colFirst="0" w:colLast="0"/>
      <w:bookmarkEnd w:id="21"/>
      <w:r>
        <w:rPr>
          <w:rFonts w:ascii="Arial" w:eastAsia="Arial" w:hAnsi="Arial" w:cs="Arial"/>
          <w:color w:val="000000"/>
          <w:sz w:val="24"/>
          <w:szCs w:val="24"/>
        </w:rPr>
        <w:t>The Processor shall allow for audits of its Data Processing activity by the Controller or the Controller’s designated auditor.</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designate a Data Protection Officer if required by the Data Protection Legislation. </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Before allowing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to Process any Personal Data related to this Contract, the Processor must:</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notify the Controller in writing of the intended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and Processing;</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obtain the written consent of the Controller;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enter into a written agreement with the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which gives effect to the terms set out in this Schedule 20 such that they apply to the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and</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provide the Controller with such information regarding the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as the Controller may reasonably require.</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Processor shall remain fully liable for all acts or omissions of any of its </w:t>
      </w:r>
      <w:proofErr w:type="spellStart"/>
      <w:r>
        <w:rPr>
          <w:rFonts w:ascii="Arial" w:eastAsia="Arial" w:hAnsi="Arial" w:cs="Arial"/>
          <w:color w:val="000000"/>
          <w:sz w:val="24"/>
          <w:szCs w:val="24"/>
        </w:rPr>
        <w:t>Subprocessors</w:t>
      </w:r>
      <w:proofErr w:type="spellEnd"/>
      <w:r>
        <w:rPr>
          <w:rFonts w:ascii="Arial" w:eastAsia="Arial" w:hAnsi="Arial" w:cs="Arial"/>
          <w:color w:val="000000"/>
          <w:sz w:val="24"/>
          <w:szCs w:val="24"/>
        </w:rPr>
        <w:t>.</w:t>
      </w:r>
    </w:p>
    <w:p w:rsidR="00E45C8A" w:rsidRDefault="00784E9C">
      <w:pPr>
        <w:numPr>
          <w:ilvl w:val="1"/>
          <w:numId w:val="1"/>
        </w:numPr>
        <w:pBdr>
          <w:top w:val="nil"/>
          <w:left w:val="nil"/>
          <w:bottom w:val="nil"/>
          <w:right w:val="nil"/>
          <w:between w:val="nil"/>
        </w:pBdr>
        <w:spacing w:before="120" w:after="120" w:line="240" w:lineRule="auto"/>
      </w:pPr>
      <w:bookmarkStart w:id="22" w:name="bookmark=id.35nkun2" w:colFirst="0" w:colLast="0"/>
      <w:bookmarkStart w:id="23" w:name="_heading=h.1t3h5sf" w:colFirst="0" w:colLast="0"/>
      <w:bookmarkEnd w:id="22"/>
      <w:bookmarkEnd w:id="23"/>
      <w:r>
        <w:rPr>
          <w:rFonts w:ascii="Arial" w:eastAsia="Arial" w:hAnsi="Arial" w:cs="Arial"/>
          <w:color w:val="000000"/>
          <w:sz w:val="24"/>
          <w:szCs w:val="24"/>
        </w:rPr>
        <w:t xml:space="preserve">The Parties agree to take account of any guidance issued by the Information Commissioner’s Office or any other regulatory authority. The Buyer may on not less than thirty (30) Working Days’ notice to the Supplier amend this Contract to ensure that it complies with any guidance issued by the Information Commissioner’s Office or any other regulatory authority. </w:t>
      </w:r>
    </w:p>
    <w:p w:rsidR="00E45C8A" w:rsidRDefault="00784E9C">
      <w:pPr>
        <w:keepNext/>
        <w:numPr>
          <w:ilvl w:val="0"/>
          <w:numId w:val="1"/>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color w:val="000000"/>
          <w:sz w:val="24"/>
          <w:szCs w:val="24"/>
        </w:rPr>
        <w:t xml:space="preserve">Where the Parties are Joint Controllers of Personal Data </w:t>
      </w:r>
    </w:p>
    <w:p w:rsidR="00E45C8A" w:rsidRDefault="00784E9C">
      <w:pPr>
        <w:pBdr>
          <w:top w:val="nil"/>
          <w:left w:val="nil"/>
          <w:bottom w:val="nil"/>
          <w:right w:val="nil"/>
          <w:between w:val="nil"/>
        </w:pBdr>
        <w:spacing w:before="120" w:after="120" w:line="240" w:lineRule="auto"/>
        <w:ind w:left="360"/>
      </w:pPr>
      <w:r>
        <w:rPr>
          <w:rFonts w:ascii="Arial" w:eastAsia="Arial" w:hAnsi="Arial" w:cs="Arial"/>
          <w:color w:val="000000"/>
          <w:sz w:val="24"/>
          <w:szCs w:val="24"/>
        </w:rPr>
        <w:t xml:space="preserve">In the event that the Parties are Joint Controllers in respect of Personal Data under this Contract, the Parties shall implement Paragraphs that are necessary to comply with UK GDPR Article 26 based on the terms set out in Annex 2 (Joint Controller Agreement) to this Schedule 20 (Processing Data). </w:t>
      </w:r>
    </w:p>
    <w:p w:rsidR="00E45C8A" w:rsidRDefault="00784E9C">
      <w:pPr>
        <w:keepNext/>
        <w:numPr>
          <w:ilvl w:val="0"/>
          <w:numId w:val="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E45C8A" w:rsidRDefault="00784E9C">
      <w:pPr>
        <w:numPr>
          <w:ilvl w:val="1"/>
          <w:numId w:val="1"/>
        </w:numPr>
        <w:pBdr>
          <w:top w:val="nil"/>
          <w:left w:val="nil"/>
          <w:bottom w:val="nil"/>
          <w:right w:val="nil"/>
          <w:between w:val="nil"/>
        </w:pBdr>
        <w:spacing w:before="120" w:after="120" w:line="240" w:lineRule="auto"/>
      </w:pPr>
      <w:bookmarkStart w:id="24" w:name="_heading=h.4d34og8" w:colFirst="0" w:colLast="0"/>
      <w:bookmarkEnd w:id="24"/>
      <w:r>
        <w:rPr>
          <w:rFonts w:ascii="Arial" w:eastAsia="Arial" w:hAnsi="Arial" w:cs="Arial"/>
          <w:color w:val="000000"/>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E45C8A" w:rsidRDefault="00784E9C">
      <w:pPr>
        <w:numPr>
          <w:ilvl w:val="1"/>
          <w:numId w:val="1"/>
        </w:numPr>
        <w:pBdr>
          <w:top w:val="nil"/>
          <w:left w:val="nil"/>
          <w:bottom w:val="nil"/>
          <w:right w:val="nil"/>
          <w:between w:val="nil"/>
        </w:pBdr>
        <w:spacing w:before="120" w:after="120" w:line="240" w:lineRule="auto"/>
      </w:pPr>
      <w:bookmarkStart w:id="25" w:name="_heading=h.2xcytpi" w:colFirst="0" w:colLast="0"/>
      <w:bookmarkEnd w:id="25"/>
      <w:r>
        <w:rPr>
          <w:rFonts w:ascii="Arial" w:eastAsia="Arial" w:hAnsi="Arial" w:cs="Arial"/>
          <w:color w:val="000000"/>
          <w:sz w:val="24"/>
          <w:szCs w:val="24"/>
        </w:rPr>
        <w:t xml:space="preserve">Each Party shall Process the Personal Data in compliance with its obligations under the Data Protection Legislation and not do anything to cause the other Party to be in breach of it. </w:t>
      </w:r>
    </w:p>
    <w:p w:rsidR="00E45C8A" w:rsidRDefault="00784E9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a Party has provided Personal Data to the other Party in accordance with Paragraph 4.2 of this Schedule 20 above, the recipient of the Personal Data will provide all such relevant documents and information relating to its data protection policies and procedures as the other Party may reasonably require.</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Parties shall be responsible for their own compliance with Articles 13 and 14 UK GDPR in respect of the Processing of Personal Data for the purposes of this Contract. </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only provide Personal Data to each other:</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to the extent necessary to perform their respective obligations under this Contract;</w:t>
      </w:r>
    </w:p>
    <w:p w:rsidR="00E45C8A" w:rsidRDefault="00784E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in compliance with the Data Protection Legislation (including by ensuring all required fair processing information has been given to affected Data Subjects); </w:t>
      </w:r>
    </w:p>
    <w:p w:rsidR="00E45C8A" w:rsidRDefault="00784E9C">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provision of Personal Data from one Party to another involves transfer of such data to outside the UK and/or the EEA, if the prior written consent of the non-transferring Party has been obtained and the following conditions are fulfilled: </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the destination country has been recognised as adequate by the UK government in accordance with Article 45 of the UK GDPR or DPA 2018 Section 74A and/or Article 45 of the EU GDPR (where applicable); or</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rsidR="00E45C8A" w:rsidRDefault="00784E9C">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Pr>
          <w:rFonts w:ascii="Arial" w:eastAsia="Arial" w:hAnsi="Arial" w:cs="Arial"/>
          <w:color w:val="000000"/>
          <w:sz w:val="24"/>
          <w:szCs w:val="24"/>
        </w:rPr>
        <w:t>where the transfer is subject to UK GDPR:</w:t>
      </w:r>
    </w:p>
    <w:p w:rsidR="00E45C8A" w:rsidRDefault="00784E9C">
      <w:pPr>
        <w:numPr>
          <w:ilvl w:val="5"/>
          <w:numId w:val="1"/>
        </w:numPr>
        <w:pBdr>
          <w:top w:val="nil"/>
          <w:left w:val="nil"/>
          <w:bottom w:val="nil"/>
          <w:right w:val="nil"/>
          <w:between w:val="nil"/>
        </w:pBdr>
        <w:spacing w:before="120" w:after="120" w:line="240" w:lineRule="auto"/>
        <w:ind w:left="4230" w:hanging="900"/>
        <w:rPr>
          <w:color w:val="000000"/>
          <w:sz w:val="24"/>
          <w:szCs w:val="24"/>
        </w:rPr>
      </w:pPr>
      <w:r>
        <w:rPr>
          <w:rFonts w:ascii="Arial" w:eastAsia="Arial" w:hAnsi="Arial" w:cs="Arial"/>
          <w:color w:val="000000"/>
          <w:sz w:val="24"/>
          <w:szCs w:val="24"/>
        </w:rPr>
        <w:t>the International Data Transfer Agreement (the "</w:t>
      </w:r>
      <w:r>
        <w:rPr>
          <w:rFonts w:ascii="Arial" w:eastAsia="Arial" w:hAnsi="Arial" w:cs="Arial"/>
          <w:b/>
          <w:color w:val="000000"/>
          <w:sz w:val="24"/>
          <w:szCs w:val="24"/>
        </w:rPr>
        <w:t>IDTA</w:t>
      </w:r>
      <w:r>
        <w:rPr>
          <w:rFonts w:ascii="Arial" w:eastAsia="Arial" w:hAnsi="Arial" w:cs="Arial"/>
          <w:color w:val="000000"/>
          <w:sz w:val="24"/>
          <w:szCs w:val="24"/>
        </w:rPr>
        <w:t>") ""as published by the Information Commissioner’s Office or such updated version of such IDTA as is published by the Information Commissioner’s Office under section 119</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1) of the DPA 2018 from time to time; or</w:t>
      </w:r>
    </w:p>
    <w:p w:rsidR="00E45C8A" w:rsidRDefault="00784E9C">
      <w:pPr>
        <w:numPr>
          <w:ilvl w:val="5"/>
          <w:numId w:val="1"/>
        </w:numPr>
        <w:pBdr>
          <w:top w:val="nil"/>
          <w:left w:val="nil"/>
          <w:bottom w:val="nil"/>
          <w:right w:val="nil"/>
          <w:between w:val="nil"/>
        </w:pBdr>
        <w:spacing w:before="120" w:after="120" w:line="240" w:lineRule="auto"/>
        <w:ind w:left="4230" w:hanging="900"/>
        <w:rPr>
          <w:sz w:val="24"/>
          <w:szCs w:val="24"/>
        </w:rPr>
      </w:pPr>
      <w:r>
        <w:rPr>
          <w:rFonts w:ascii="Arial" w:eastAsia="Arial" w:hAnsi="Arial" w:cs="Arial"/>
          <w:color w:val="000000"/>
          <w:sz w:val="24"/>
          <w:szCs w:val="24"/>
        </w:rPr>
        <w:t>the European Commission’s Standard Contractual Clauses per decision 2021/914/EU or such updated version of such Standard Contractual Clauses as are published by the European Commission from time to time (the "</w:t>
      </w:r>
      <w:r>
        <w:rPr>
          <w:rFonts w:ascii="Arial" w:eastAsia="Arial" w:hAnsi="Arial" w:cs="Arial"/>
          <w:b/>
          <w:color w:val="000000"/>
          <w:sz w:val="24"/>
          <w:szCs w:val="24"/>
        </w:rPr>
        <w:t>EU SCCs</w:t>
      </w:r>
      <w:r>
        <w:rPr>
          <w:rFonts w:ascii="Arial" w:eastAsia="Arial" w:hAnsi="Arial" w:cs="Arial"/>
          <w:color w:val="000000"/>
          <w:sz w:val="24"/>
          <w:szCs w:val="24"/>
        </w:rPr>
        <w:t>"), together with the UK International Data Transfer Agreement Addendum to the EU SCCs (the "</w:t>
      </w:r>
      <w:r>
        <w:rPr>
          <w:rFonts w:ascii="Arial" w:eastAsia="Arial" w:hAnsi="Arial" w:cs="Arial"/>
          <w:b/>
          <w:color w:val="000000"/>
          <w:sz w:val="24"/>
          <w:szCs w:val="24"/>
        </w:rPr>
        <w:t>Addendum</w:t>
      </w:r>
      <w:r>
        <w:rPr>
          <w:rFonts w:ascii="Arial" w:eastAsia="Arial" w:hAnsi="Arial" w:cs="Arial"/>
          <w:color w:val="000000"/>
          <w:sz w:val="24"/>
          <w:szCs w:val="24"/>
        </w:rPr>
        <w:t>") as published by the Information Commissioner’s Office from time to time; and/or</w:t>
      </w:r>
    </w:p>
    <w:p w:rsidR="00E45C8A" w:rsidRDefault="00784E9C">
      <w:pPr>
        <w:numPr>
          <w:ilvl w:val="4"/>
          <w:numId w:val="1"/>
        </w:numPr>
        <w:pBdr>
          <w:top w:val="nil"/>
          <w:left w:val="nil"/>
          <w:bottom w:val="nil"/>
          <w:right w:val="nil"/>
          <w:between w:val="nil"/>
        </w:pBdr>
        <w:spacing w:before="120" w:after="120" w:line="240" w:lineRule="auto"/>
        <w:ind w:hanging="705"/>
        <w:rPr>
          <w:rFonts w:ascii="Arial" w:eastAsia="Arial" w:hAnsi="Arial" w:cs="Arial"/>
          <w:color w:val="000000"/>
          <w:sz w:val="24"/>
          <w:szCs w:val="24"/>
        </w:rPr>
      </w:pPr>
      <w:r>
        <w:rPr>
          <w:rFonts w:ascii="Arial" w:eastAsia="Arial" w:hAnsi="Arial" w:cs="Arial"/>
          <w:color w:val="000000"/>
          <w:sz w:val="24"/>
          <w:szCs w:val="24"/>
        </w:rPr>
        <w:t xml:space="preserve">where the transfer is subject to EU GDPR, the EU SCCs, </w:t>
      </w:r>
    </w:p>
    <w:p w:rsidR="00E45C8A" w:rsidRDefault="00784E9C">
      <w:pPr>
        <w:pBdr>
          <w:top w:val="nil"/>
          <w:left w:val="nil"/>
          <w:bottom w:val="nil"/>
          <w:right w:val="nil"/>
          <w:between w:val="nil"/>
        </w:pBdr>
        <w:spacing w:before="120" w:after="120" w:line="240" w:lineRule="auto"/>
        <w:ind w:left="3312"/>
        <w:rPr>
          <w:color w:val="000000"/>
          <w:sz w:val="24"/>
          <w:szCs w:val="24"/>
        </w:rPr>
      </w:pPr>
      <w:r>
        <w:rPr>
          <w:rFonts w:ascii="Arial" w:eastAsia="Arial" w:hAnsi="Arial" w:cs="Arial"/>
          <w:color w:val="000000"/>
          <w:sz w:val="24"/>
          <w:szCs w:val="24"/>
        </w:rPr>
        <w:t>as well as any additional measures determined by the Controller being implemented by the importing party;</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the Data Subject has enforceable rights and effective legal remedies;</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t>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E45C8A" w:rsidRDefault="00784E9C">
      <w:pPr>
        <w:numPr>
          <w:ilvl w:val="3"/>
          <w:numId w:val="1"/>
        </w:numPr>
        <w:pBdr>
          <w:top w:val="nil"/>
          <w:left w:val="nil"/>
          <w:bottom w:val="nil"/>
          <w:right w:val="nil"/>
          <w:between w:val="nil"/>
        </w:pBdr>
        <w:spacing w:before="120" w:after="120" w:line="240" w:lineRule="auto"/>
        <w:ind w:hanging="849"/>
        <w:rPr>
          <w:rFonts w:ascii="Arial" w:eastAsia="Arial" w:hAnsi="Arial" w:cs="Arial"/>
          <w:color w:val="000000"/>
          <w:sz w:val="24"/>
          <w:szCs w:val="24"/>
        </w:rPr>
      </w:pPr>
      <w:r>
        <w:rPr>
          <w:rFonts w:ascii="Arial" w:eastAsia="Arial" w:hAnsi="Arial" w:cs="Arial"/>
          <w:color w:val="000000"/>
          <w:sz w:val="24"/>
          <w:szCs w:val="24"/>
        </w:rPr>
        <w:lastRenderedPageBreak/>
        <w:t>the transferring Party complies with any reasonable instructions notified to it in advance by the non-transferring Party with respect to the processing of the Personal Data; and</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it has recorded it in Annex 1 </w:t>
      </w:r>
      <w:r>
        <w:rPr>
          <w:rFonts w:ascii="Arial" w:eastAsia="Arial" w:hAnsi="Arial" w:cs="Arial"/>
          <w:i/>
          <w:color w:val="000000"/>
          <w:sz w:val="24"/>
          <w:szCs w:val="24"/>
        </w:rPr>
        <w:t>(</w:t>
      </w:r>
      <w:r>
        <w:rPr>
          <w:rFonts w:ascii="Arial" w:eastAsia="Arial" w:hAnsi="Arial" w:cs="Arial"/>
          <w:color w:val="000000"/>
          <w:sz w:val="24"/>
          <w:szCs w:val="24"/>
        </w:rPr>
        <w:t>Processing Personal Data</w:t>
      </w:r>
      <w:r>
        <w:rPr>
          <w:rFonts w:ascii="Arial" w:eastAsia="Arial" w:hAnsi="Arial" w:cs="Arial"/>
          <w:i/>
          <w:color w:val="000000"/>
          <w:sz w:val="24"/>
          <w:szCs w:val="24"/>
        </w:rPr>
        <w:t>).</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A Party Processing Personal Data for the purposes of this Contract shall maintain a record of its Processing activities in accordance with Article 30 UK GDPR and shall make the record available to the other Party upon reasonable request.</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Where a Party receives a request by any Data Subject to exercise any of their rights under the Data Protection Legislation in relation to the Personal Data provided to it by the other Party pursuant to this Contract ("</w:t>
      </w:r>
      <w:r>
        <w:rPr>
          <w:rFonts w:ascii="Arial" w:eastAsia="Arial" w:hAnsi="Arial" w:cs="Arial"/>
          <w:b/>
          <w:color w:val="000000"/>
          <w:sz w:val="24"/>
          <w:szCs w:val="24"/>
        </w:rPr>
        <w:t>Request Recipient</w:t>
      </w:r>
      <w:r>
        <w:rPr>
          <w:rFonts w:ascii="Arial" w:eastAsia="Arial" w:hAnsi="Arial" w:cs="Arial"/>
          <w:color w:val="000000"/>
          <w:sz w:val="24"/>
          <w:szCs w:val="24"/>
        </w:rPr>
        <w:t>"):</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the other Party shall provide any information and/or assistance as reasonably requested by the Request Recipient to help it respond to the request or correspondence, at the cost of the Request Recipient; or</w:t>
      </w:r>
    </w:p>
    <w:p w:rsidR="00E45C8A" w:rsidRDefault="00784E9C">
      <w:pPr>
        <w:keepNext/>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color w:val="000000"/>
          <w:sz w:val="24"/>
          <w:szCs w:val="24"/>
        </w:rPr>
        <w:t>Recipient  will</w:t>
      </w:r>
      <w:proofErr w:type="gramEnd"/>
      <w:r>
        <w:rPr>
          <w:rFonts w:ascii="Arial" w:eastAsia="Arial" w:hAnsi="Arial" w:cs="Arial"/>
          <w:color w:val="000000"/>
          <w:sz w:val="24"/>
          <w:szCs w:val="24"/>
        </w:rPr>
        <w:t>:</w:t>
      </w:r>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promptly, and in any event within five (5) Working Days of receipt of the request or correspondence, inform the other Party that it has received the same and shall forward such request or correspondence to the other Party; and</w:t>
      </w:r>
    </w:p>
    <w:p w:rsidR="00E45C8A" w:rsidRDefault="00784E9C">
      <w:pPr>
        <w:numPr>
          <w:ilvl w:val="3"/>
          <w:numId w:val="1"/>
        </w:numPr>
        <w:pBdr>
          <w:top w:val="nil"/>
          <w:left w:val="nil"/>
          <w:bottom w:val="nil"/>
          <w:right w:val="nil"/>
          <w:between w:val="nil"/>
        </w:pBdr>
        <w:spacing w:before="120" w:after="120" w:line="240" w:lineRule="auto"/>
        <w:ind w:hanging="849"/>
      </w:pPr>
      <w:r>
        <w:rPr>
          <w:rFonts w:ascii="Arial" w:eastAsia="Arial" w:hAnsi="Arial" w:cs="Arial"/>
          <w:color w:val="000000"/>
          <w:sz w:val="24"/>
          <w:szCs w:val="24"/>
        </w:rPr>
        <w:t>provide any information and/or assistance as reasonably requested by the other Party to help it respond to the request or correspondence in the timeframes specified by Data Protection Legislation.</w:t>
      </w:r>
    </w:p>
    <w:p w:rsidR="00E45C8A" w:rsidRDefault="00784E9C">
      <w:pPr>
        <w:keepNext/>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Each Party shall promptly notify the other Party upon it becoming aware of any Data Loss Event relating to Personal Data provided by the other Party pursuant to this Contract and shall: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do all such things as reasonably necessary to assist the other Party in mitigating the effects of the Data Loss Event;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implement any measures necessary to restore the security of any compromised Personal Data; </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work with the other Party to make any required notifications to the Information Commissioner’s Office or any other regulatory authority and affected Data Subjects in accordance with the Data Protection Legislation (including the timeframes set out therein); and</w:t>
      </w:r>
    </w:p>
    <w:p w:rsidR="00E45C8A" w:rsidRDefault="00784E9C">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not do anything which may damage the reputation of the other Party or that Party's relationship with the relevant Data Subjects, save as required by Law. </w:t>
      </w:r>
    </w:p>
    <w:p w:rsidR="00E45C8A" w:rsidRDefault="00784E9C">
      <w:pPr>
        <w:numPr>
          <w:ilvl w:val="1"/>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Personal Data provided by one Party to the other Party may be used exclusively to exercise rights and obligations under this Contract as specified in Annex 1 </w:t>
      </w:r>
      <w:r>
        <w:rPr>
          <w:rFonts w:ascii="Arial" w:eastAsia="Arial" w:hAnsi="Arial" w:cs="Arial"/>
          <w:i/>
          <w:color w:val="000000"/>
          <w:sz w:val="24"/>
          <w:szCs w:val="24"/>
        </w:rPr>
        <w:t>(</w:t>
      </w:r>
      <w:r>
        <w:rPr>
          <w:rFonts w:ascii="Arial" w:eastAsia="Arial" w:hAnsi="Arial" w:cs="Arial"/>
          <w:color w:val="000000"/>
          <w:sz w:val="24"/>
          <w:szCs w:val="24"/>
        </w:rPr>
        <w:t>Processing Personal Data</w:t>
      </w:r>
      <w:r>
        <w:rPr>
          <w:rFonts w:ascii="Arial" w:eastAsia="Arial" w:hAnsi="Arial" w:cs="Arial"/>
          <w:i/>
          <w:color w:val="000000"/>
          <w:sz w:val="24"/>
          <w:szCs w:val="24"/>
        </w:rPr>
        <w:t>).</w:t>
      </w:r>
      <w:r>
        <w:rPr>
          <w:rFonts w:ascii="Arial" w:eastAsia="Arial" w:hAnsi="Arial" w:cs="Arial"/>
          <w:color w:val="000000"/>
          <w:sz w:val="24"/>
          <w:szCs w:val="24"/>
        </w:rPr>
        <w:t xml:space="preserve"> </w:t>
      </w:r>
    </w:p>
    <w:p w:rsidR="00E45C8A" w:rsidRDefault="00784E9C">
      <w:pPr>
        <w:numPr>
          <w:ilvl w:val="1"/>
          <w:numId w:val="1"/>
        </w:numPr>
        <w:pBdr>
          <w:top w:val="nil"/>
          <w:left w:val="nil"/>
          <w:bottom w:val="nil"/>
          <w:right w:val="nil"/>
          <w:between w:val="nil"/>
        </w:pBdr>
        <w:spacing w:before="120" w:after="120" w:line="240" w:lineRule="auto"/>
      </w:pPr>
      <w:bookmarkStart w:id="26" w:name="_heading=h.2s8eyo1" w:colFirst="0" w:colLast="0"/>
      <w:bookmarkEnd w:id="26"/>
      <w:r>
        <w:rPr>
          <w:rFonts w:ascii="Arial" w:eastAsia="Arial" w:hAnsi="Arial" w:cs="Arial"/>
          <w:color w:val="000000"/>
          <w:sz w:val="24"/>
          <w:szCs w:val="24"/>
        </w:rPr>
        <w:t xml:space="preserve">Personal Data shall not be retained or processed for longer than is necessary to perform each Party’s respective obligations under this Contract which is specified in Annex 1 </w:t>
      </w:r>
      <w:r>
        <w:rPr>
          <w:rFonts w:ascii="Arial" w:eastAsia="Arial" w:hAnsi="Arial" w:cs="Arial"/>
          <w:i/>
          <w:color w:val="000000"/>
          <w:sz w:val="24"/>
          <w:szCs w:val="24"/>
        </w:rPr>
        <w:t>(</w:t>
      </w:r>
      <w:r>
        <w:rPr>
          <w:rFonts w:ascii="Arial" w:eastAsia="Arial" w:hAnsi="Arial" w:cs="Arial"/>
          <w:color w:val="000000"/>
          <w:sz w:val="24"/>
          <w:szCs w:val="24"/>
        </w:rPr>
        <w:t xml:space="preserve">Processing Personal Data). </w:t>
      </w:r>
    </w:p>
    <w:p w:rsidR="00E45C8A" w:rsidRDefault="00784E9C">
      <w:pPr>
        <w:numPr>
          <w:ilvl w:val="1"/>
          <w:numId w:val="1"/>
        </w:numPr>
        <w:pBdr>
          <w:top w:val="nil"/>
          <w:left w:val="nil"/>
          <w:bottom w:val="nil"/>
          <w:right w:val="nil"/>
          <w:between w:val="nil"/>
        </w:pBdr>
        <w:spacing w:before="120" w:after="120" w:line="240" w:lineRule="auto"/>
      </w:pPr>
      <w:bookmarkStart w:id="27" w:name="_heading=h.1ci93xb" w:colFirst="0" w:colLast="0"/>
      <w:bookmarkEnd w:id="27"/>
      <w:r>
        <w:rPr>
          <w:rFonts w:ascii="Arial" w:eastAsia="Arial" w:hAnsi="Arial" w:cs="Arial"/>
          <w:color w:val="000000"/>
          <w:sz w:val="24"/>
          <w:szCs w:val="24"/>
        </w:rPr>
        <w:t>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4.2 to 4.12 of this Schedule 20.</w:t>
      </w:r>
    </w:p>
    <w:p w:rsidR="00E45C8A" w:rsidRDefault="00E45C8A">
      <w:pPr>
        <w:pBdr>
          <w:top w:val="nil"/>
          <w:left w:val="nil"/>
          <w:bottom w:val="nil"/>
          <w:right w:val="nil"/>
          <w:between w:val="nil"/>
        </w:pBdr>
        <w:spacing w:before="280" w:after="120"/>
        <w:ind w:left="709"/>
        <w:rPr>
          <w:rFonts w:ascii="Arial" w:eastAsia="Arial" w:hAnsi="Arial" w:cs="Arial"/>
          <w:sz w:val="24"/>
          <w:szCs w:val="24"/>
        </w:rPr>
      </w:pPr>
    </w:p>
    <w:p w:rsidR="00E45C8A" w:rsidRDefault="00784E9C">
      <w:pPr>
        <w:rPr>
          <w:rFonts w:ascii="Arial" w:eastAsia="Arial" w:hAnsi="Arial" w:cs="Arial"/>
          <w:sz w:val="36"/>
          <w:szCs w:val="36"/>
        </w:rPr>
      </w:pPr>
      <w:r>
        <w:br w:type="page"/>
      </w:r>
      <w:r>
        <w:rPr>
          <w:rFonts w:ascii="Arial" w:eastAsia="Arial" w:hAnsi="Arial" w:cs="Arial"/>
          <w:b/>
          <w:color w:val="000000"/>
          <w:sz w:val="36"/>
          <w:szCs w:val="36"/>
        </w:rPr>
        <w:lastRenderedPageBreak/>
        <w:t xml:space="preserve">Annex </w:t>
      </w:r>
      <w:bookmarkStart w:id="28" w:name="bookmark=id.3whwml4" w:colFirst="0" w:colLast="0"/>
      <w:bookmarkEnd w:id="28"/>
      <w:r>
        <w:rPr>
          <w:rFonts w:ascii="Arial" w:eastAsia="Arial" w:hAnsi="Arial" w:cs="Arial"/>
          <w:b/>
          <w:color w:val="000000"/>
          <w:sz w:val="36"/>
          <w:szCs w:val="36"/>
        </w:rPr>
        <w:t>1 - Processing Personal Data</w:t>
      </w:r>
    </w:p>
    <w:p w:rsidR="00E45C8A" w:rsidRDefault="00784E9C">
      <w:pPr>
        <w:keepNext/>
        <w:numPr>
          <w:ilvl w:val="0"/>
          <w:numId w:val="3"/>
        </w:numPr>
        <w:pBdr>
          <w:top w:val="nil"/>
          <w:left w:val="nil"/>
          <w:bottom w:val="nil"/>
          <w:right w:val="nil"/>
          <w:between w:val="nil"/>
        </w:pBdr>
        <w:spacing w:before="120" w:after="240" w:line="240" w:lineRule="auto"/>
      </w:pPr>
      <w:r>
        <w:rPr>
          <w:rFonts w:ascii="Arial" w:eastAsia="Arial" w:hAnsi="Arial" w:cs="Arial"/>
          <w:color w:val="000000"/>
          <w:sz w:val="24"/>
          <w:szCs w:val="24"/>
        </w:rPr>
        <w:t xml:space="preserve">This Annex shall be completed by the Controller, who may take account of the view of the Processor, however the final decision as to the content of this Annex shall be with the Buyer at its absolute discretion.  </w:t>
      </w:r>
    </w:p>
    <w:p w:rsidR="00E45C8A" w:rsidRPr="00775748" w:rsidRDefault="00775748">
      <w:pPr>
        <w:numPr>
          <w:ilvl w:val="1"/>
          <w:numId w:val="3"/>
        </w:numPr>
        <w:pBdr>
          <w:top w:val="nil"/>
          <w:left w:val="nil"/>
          <w:bottom w:val="nil"/>
          <w:right w:val="nil"/>
          <w:between w:val="nil"/>
        </w:pBdr>
        <w:spacing w:before="120" w:after="120" w:line="240" w:lineRule="auto"/>
        <w:rPr>
          <w:b/>
        </w:rPr>
      </w:pPr>
      <w:r w:rsidRPr="00775748">
        <w:rPr>
          <w:rFonts w:ascii="Arial" w:eastAsia="Arial" w:hAnsi="Arial" w:cs="Arial"/>
          <w:color w:val="000000"/>
          <w:sz w:val="24"/>
          <w:szCs w:val="24"/>
        </w:rPr>
        <w:t>The contact details of the Buyer’s Data Protection Officer are:</w:t>
      </w:r>
      <w:r>
        <w:rPr>
          <w:rFonts w:ascii="Arial" w:eastAsia="Arial" w:hAnsi="Arial" w:cs="Arial"/>
          <w:color w:val="000000"/>
          <w:sz w:val="24"/>
          <w:szCs w:val="24"/>
        </w:rPr>
        <w:t xml:space="preserve">  </w:t>
      </w:r>
      <w:r w:rsidRPr="00775748">
        <w:rPr>
          <w:rFonts w:ascii="Arial" w:eastAsia="Arial" w:hAnsi="Arial" w:cs="Arial"/>
          <w:b/>
          <w:color w:val="000000"/>
          <w:sz w:val="24"/>
          <w:szCs w:val="24"/>
        </w:rPr>
        <w:t>Redacted under FOIA section 40, Personal Information.</w:t>
      </w:r>
      <w:r w:rsidR="00784E9C" w:rsidRPr="00775748">
        <w:rPr>
          <w:rFonts w:ascii="Arial" w:eastAsia="Arial" w:hAnsi="Arial" w:cs="Arial"/>
          <w:b/>
          <w:color w:val="000000"/>
          <w:sz w:val="24"/>
          <w:szCs w:val="24"/>
        </w:rPr>
        <w:t xml:space="preserve"> </w:t>
      </w:r>
    </w:p>
    <w:p w:rsidR="00E45C8A" w:rsidRDefault="00784E9C">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contact details of the Supplier’s Data Protection Officer are:</w:t>
      </w:r>
      <w:r w:rsidR="00775748">
        <w:rPr>
          <w:rFonts w:ascii="Arial" w:eastAsia="Arial" w:hAnsi="Arial" w:cs="Arial"/>
          <w:color w:val="000000"/>
          <w:sz w:val="24"/>
          <w:szCs w:val="24"/>
        </w:rPr>
        <w:t xml:space="preserve"> </w:t>
      </w:r>
      <w:r w:rsidR="00775748" w:rsidRPr="00775748">
        <w:rPr>
          <w:rFonts w:ascii="Arial" w:eastAsia="Arial" w:hAnsi="Arial" w:cs="Arial"/>
          <w:b/>
          <w:color w:val="000000"/>
          <w:sz w:val="24"/>
          <w:szCs w:val="24"/>
        </w:rPr>
        <w:t>Redacted under FOIA section 40, Personal Information.</w:t>
      </w:r>
    </w:p>
    <w:p w:rsidR="00E45C8A" w:rsidRDefault="00784E9C">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The Processor shall comply with any further written instructions with respect to Processing by the Controller.</w:t>
      </w:r>
    </w:p>
    <w:p w:rsidR="00E45C8A" w:rsidRDefault="00784E9C">
      <w:pPr>
        <w:numPr>
          <w:ilvl w:val="1"/>
          <w:numId w:val="3"/>
        </w:numPr>
        <w:pBdr>
          <w:top w:val="nil"/>
          <w:left w:val="nil"/>
          <w:bottom w:val="nil"/>
          <w:right w:val="nil"/>
          <w:between w:val="nil"/>
        </w:pBdr>
        <w:spacing w:before="120" w:after="120" w:line="240" w:lineRule="auto"/>
      </w:pPr>
      <w:r>
        <w:rPr>
          <w:rFonts w:ascii="Arial" w:eastAsia="Arial" w:hAnsi="Arial" w:cs="Arial"/>
          <w:color w:val="000000"/>
          <w:sz w:val="24"/>
          <w:szCs w:val="24"/>
        </w:rPr>
        <w:t>Any such further instructions shall be incorporated into this Annex.</w:t>
      </w:r>
    </w:p>
    <w:tbl>
      <w:tblPr>
        <w:tblStyle w:val="a1"/>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45C8A">
        <w:trPr>
          <w:trHeight w:val="700"/>
          <w:tblHeader/>
        </w:trPr>
        <w:tc>
          <w:tcPr>
            <w:tcW w:w="2263" w:type="dxa"/>
            <w:shd w:val="clear" w:color="auto" w:fill="BFBFBF"/>
            <w:vAlign w:val="center"/>
          </w:tcPr>
          <w:p w:rsidR="00E45C8A" w:rsidRDefault="00784E9C">
            <w:pPr>
              <w:spacing w:before="120" w:after="12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45C8A" w:rsidRDefault="00784E9C">
            <w:pPr>
              <w:spacing w:before="120" w:after="120"/>
              <w:jc w:val="center"/>
              <w:rPr>
                <w:rFonts w:ascii="Arial" w:eastAsia="Arial" w:hAnsi="Arial" w:cs="Arial"/>
                <w:b/>
                <w:sz w:val="24"/>
                <w:szCs w:val="24"/>
              </w:rPr>
            </w:pPr>
            <w:r>
              <w:rPr>
                <w:rFonts w:ascii="Arial" w:eastAsia="Arial" w:hAnsi="Arial" w:cs="Arial"/>
                <w:b/>
                <w:sz w:val="24"/>
                <w:szCs w:val="24"/>
              </w:rPr>
              <w:t>Details</w:t>
            </w:r>
          </w:p>
        </w:tc>
      </w:tr>
      <w:tr w:rsidR="00E45C8A">
        <w:trPr>
          <w:trHeight w:val="162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45C8A" w:rsidRDefault="00784E9C">
            <w:pPr>
              <w:spacing w:before="120" w:after="120"/>
              <w:rPr>
                <w:rFonts w:ascii="Arial" w:eastAsia="Arial" w:hAnsi="Arial" w:cs="Arial"/>
                <w:b/>
                <w:sz w:val="24"/>
                <w:szCs w:val="24"/>
              </w:rPr>
            </w:pPr>
            <w:r>
              <w:rPr>
                <w:rFonts w:ascii="Arial" w:eastAsia="Arial" w:hAnsi="Arial" w:cs="Arial"/>
                <w:b/>
                <w:sz w:val="24"/>
                <w:szCs w:val="24"/>
              </w:rPr>
              <w:t>The Buyer is Controller and the Supplier is Processor</w:t>
            </w:r>
          </w:p>
          <w:p w:rsidR="00E45C8A" w:rsidRDefault="00784E9C">
            <w:pPr>
              <w:spacing w:before="120" w:after="120"/>
              <w:rPr>
                <w:rFonts w:ascii="Arial" w:eastAsia="Arial" w:hAnsi="Arial" w:cs="Arial"/>
                <w:sz w:val="24"/>
                <w:szCs w:val="24"/>
              </w:rPr>
            </w:pPr>
            <w:r>
              <w:rPr>
                <w:rFonts w:ascii="Arial" w:eastAsia="Arial" w:hAnsi="Arial" w:cs="Arial"/>
                <w:sz w:val="24"/>
                <w:szCs w:val="24"/>
              </w:rPr>
              <w:t>The Parties acknowledge that in accordance with Paragraph 2 and for the purposes of the Data Protection Legislation, the Buyer is the Controller and the Supplier is the Processor of the following Personal Data:</w:t>
            </w:r>
          </w:p>
          <w:p w:rsidR="00E45C8A" w:rsidRDefault="00784E9C">
            <w:pPr>
              <w:numPr>
                <w:ilvl w:val="0"/>
                <w:numId w:val="7"/>
              </w:numPr>
              <w:pBdr>
                <w:top w:val="nil"/>
                <w:left w:val="nil"/>
                <w:bottom w:val="nil"/>
                <w:right w:val="nil"/>
                <w:between w:val="nil"/>
              </w:pBdr>
              <w:spacing w:before="120" w:after="120"/>
              <w:ind w:left="714" w:hanging="357"/>
              <w:rPr>
                <w:rFonts w:ascii="Arial" w:eastAsia="Arial" w:hAnsi="Arial" w:cs="Arial"/>
                <w:sz w:val="24"/>
                <w:szCs w:val="24"/>
              </w:rPr>
            </w:pPr>
            <w:r>
              <w:rPr>
                <w:rFonts w:ascii="Arial" w:eastAsia="Arial" w:hAnsi="Arial" w:cs="Arial"/>
                <w:b/>
                <w:sz w:val="24"/>
                <w:szCs w:val="24"/>
              </w:rPr>
              <w:t xml:space="preserve">Personal data processed on behalf of The Buyer as part of the National Fraud Initiative. </w:t>
            </w:r>
          </w:p>
          <w:p w:rsidR="00E45C8A" w:rsidRDefault="00E45C8A">
            <w:pPr>
              <w:spacing w:before="120" w:after="120"/>
              <w:rPr>
                <w:rFonts w:ascii="Arial" w:eastAsia="Arial" w:hAnsi="Arial" w:cs="Arial"/>
                <w:b/>
                <w:sz w:val="24"/>
                <w:szCs w:val="24"/>
              </w:rPr>
            </w:pPr>
          </w:p>
          <w:p w:rsidR="00E45C8A" w:rsidRDefault="00784E9C">
            <w:pPr>
              <w:spacing w:before="120" w:after="120"/>
              <w:rPr>
                <w:rFonts w:ascii="Arial" w:eastAsia="Arial" w:hAnsi="Arial" w:cs="Arial"/>
                <w:b/>
                <w:i/>
                <w:sz w:val="24"/>
                <w:szCs w:val="24"/>
              </w:rPr>
            </w:pPr>
            <w:r>
              <w:rPr>
                <w:rFonts w:ascii="Arial" w:eastAsia="Arial" w:hAnsi="Arial" w:cs="Arial"/>
                <w:sz w:val="24"/>
                <w:szCs w:val="24"/>
              </w:rPr>
              <w:t xml:space="preserve">For the avoidance of doubt, the Supplier also acts as a participating organisation in the National Fraud Initiative. Where the Supplier is acting in that capacity it is an independent controller and not a data processor. The Supplier’s activities as a participating organisation fall outside the scope of this Agreement. </w:t>
            </w:r>
          </w:p>
        </w:tc>
      </w:tr>
      <w:tr w:rsidR="00E45C8A">
        <w:trPr>
          <w:trHeight w:val="14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Subject matter of the Processing</w:t>
            </w:r>
          </w:p>
        </w:tc>
        <w:tc>
          <w:tcPr>
            <w:tcW w:w="742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The delivery and operation of the National Fraud Initiative, which is a data matching service allowing mandatory and voluntary participant organisations to match customer data to detect and prevent fraud.</w:t>
            </w:r>
          </w:p>
          <w:p w:rsidR="00E45C8A" w:rsidRDefault="00784E9C">
            <w:pPr>
              <w:spacing w:before="120" w:after="120"/>
              <w:rPr>
                <w:rFonts w:ascii="Arial" w:eastAsia="Arial" w:hAnsi="Arial" w:cs="Arial"/>
                <w:i/>
                <w:sz w:val="24"/>
                <w:szCs w:val="24"/>
              </w:rPr>
            </w:pPr>
            <w:r>
              <w:rPr>
                <w:rFonts w:ascii="Arial" w:eastAsia="Arial" w:hAnsi="Arial" w:cs="Arial"/>
                <w:sz w:val="24"/>
                <w:szCs w:val="24"/>
              </w:rPr>
              <w:t xml:space="preserve">The Cabinet Office may disclose data provided for data matching and the results of data matching exercises where this assists in the prevention and detection of fraud, including disclosure to bodies that have provided the data and to auditors that they appoint. We may also disclose both </w:t>
            </w:r>
            <w:proofErr w:type="gramStart"/>
            <w:r>
              <w:rPr>
                <w:rFonts w:ascii="Arial" w:eastAsia="Arial" w:hAnsi="Arial" w:cs="Arial"/>
                <w:sz w:val="24"/>
                <w:szCs w:val="24"/>
              </w:rPr>
              <w:t>data</w:t>
            </w:r>
            <w:proofErr w:type="gramEnd"/>
            <w:r>
              <w:rPr>
                <w:rFonts w:ascii="Arial" w:eastAsia="Arial" w:hAnsi="Arial" w:cs="Arial"/>
                <w:sz w:val="24"/>
                <w:szCs w:val="24"/>
              </w:rPr>
              <w:t xml:space="preserve"> provided for data matching and the results of data matching to the Auditor General for Wales, the Comptroller and Auditor General for Northern Ireland, the Auditor General for Scotland, the Accounts Commission for Scotland and Audit Scotland, for the purposes of assisting in preventing and detecting fraud or in connection with audit functions of those bodies.</w:t>
            </w:r>
          </w:p>
        </w:tc>
      </w:tr>
      <w:tr w:rsidR="00E45C8A">
        <w:trPr>
          <w:trHeight w:val="14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For the duration of the contract</w:t>
            </w:r>
          </w:p>
        </w:tc>
      </w:tr>
      <w:tr w:rsidR="00E45C8A">
        <w:trPr>
          <w:trHeight w:val="152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The National Fraud Initiative (NFI) matches electronic data within and between public and private sector bodies to prevent and detect fraud. These bodies include police authorities, local probation boards, fire and rescue authorities as well as local councils and a number of private sector bodies.</w:t>
            </w:r>
          </w:p>
          <w:p w:rsidR="00E45C8A" w:rsidRDefault="00E45C8A">
            <w:pPr>
              <w:spacing w:before="120" w:after="120"/>
              <w:rPr>
                <w:rFonts w:ascii="Arial" w:eastAsia="Arial" w:hAnsi="Arial" w:cs="Arial"/>
                <w:sz w:val="24"/>
                <w:szCs w:val="24"/>
              </w:rPr>
            </w:pPr>
          </w:p>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Data is uploaded through the Supplier’s secure data file upload tool where it will be cleansed and standardised in preparation for matching against data provided by other participating organisations. Data matches are then provided back to the participating body or another authorised body. </w:t>
            </w:r>
          </w:p>
          <w:p w:rsidR="00E45C8A" w:rsidRDefault="00784E9C">
            <w:pPr>
              <w:spacing w:before="120" w:after="120"/>
              <w:rPr>
                <w:rFonts w:ascii="Arial" w:eastAsia="Arial" w:hAnsi="Arial" w:cs="Arial"/>
                <w:b/>
                <w:sz w:val="24"/>
                <w:szCs w:val="24"/>
                <w:highlight w:val="yellow"/>
              </w:rPr>
            </w:pPr>
            <w:r>
              <w:rPr>
                <w:rFonts w:ascii="Arial" w:eastAsia="Arial" w:hAnsi="Arial" w:cs="Arial"/>
                <w:sz w:val="24"/>
                <w:szCs w:val="24"/>
              </w:rPr>
              <w:t xml:space="preserve">The NFI carries out data matching using the powers given to the Minister for the Cabinet Office by Part </w:t>
            </w:r>
            <w:proofErr w:type="gramStart"/>
            <w:r>
              <w:rPr>
                <w:rFonts w:ascii="Arial" w:eastAsia="Arial" w:hAnsi="Arial" w:cs="Arial"/>
                <w:sz w:val="24"/>
                <w:szCs w:val="24"/>
              </w:rPr>
              <w:t>6,  schedule</w:t>
            </w:r>
            <w:proofErr w:type="gramEnd"/>
            <w:r>
              <w:rPr>
                <w:rFonts w:ascii="Arial" w:eastAsia="Arial" w:hAnsi="Arial" w:cs="Arial"/>
                <w:sz w:val="24"/>
                <w:szCs w:val="24"/>
              </w:rPr>
              <w:t xml:space="preserve"> 9 of the Local Audit and Accountability Act 2014. </w:t>
            </w:r>
          </w:p>
        </w:tc>
      </w:tr>
      <w:tr w:rsidR="00E45C8A">
        <w:trPr>
          <w:trHeight w:val="140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Type of Personal Data being Processed</w:t>
            </w:r>
          </w:p>
        </w:tc>
        <w:tc>
          <w:tcPr>
            <w:tcW w:w="742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The full details of data that is submitted by NFI participating bodies (where appropriate) can be found on </w:t>
            </w:r>
            <w:hyperlink r:id="rId8">
              <w:r>
                <w:rPr>
                  <w:rFonts w:ascii="Arial" w:eastAsia="Arial" w:hAnsi="Arial" w:cs="Arial"/>
                  <w:color w:val="1155CC"/>
                  <w:sz w:val="24"/>
                  <w:szCs w:val="24"/>
                  <w:u w:val="single"/>
                </w:rPr>
                <w:t>GOV.UK.</w:t>
              </w:r>
            </w:hyperlink>
            <w:r>
              <w:rPr>
                <w:rFonts w:ascii="Arial" w:eastAsia="Arial" w:hAnsi="Arial" w:cs="Arial"/>
                <w:sz w:val="24"/>
                <w:szCs w:val="24"/>
              </w:rPr>
              <w:t xml:space="preserve"> This data may include (but will not be limited to):</w:t>
            </w:r>
          </w:p>
          <w:p w:rsidR="00E45C8A" w:rsidRDefault="00784E9C">
            <w:pPr>
              <w:spacing w:before="240" w:after="120"/>
              <w:rPr>
                <w:rFonts w:ascii="Arial" w:eastAsia="Arial" w:hAnsi="Arial" w:cs="Arial"/>
                <w:sz w:val="24"/>
                <w:szCs w:val="24"/>
              </w:rPr>
            </w:pPr>
            <w:r>
              <w:rPr>
                <w:rFonts w:ascii="Arial" w:eastAsia="Arial" w:hAnsi="Arial" w:cs="Arial"/>
                <w:sz w:val="24"/>
                <w:szCs w:val="24"/>
              </w:rPr>
              <w:t>Name and marital status</w:t>
            </w:r>
          </w:p>
          <w:p w:rsidR="00E45C8A" w:rsidRDefault="00784E9C">
            <w:pPr>
              <w:spacing w:before="240" w:after="120"/>
              <w:rPr>
                <w:rFonts w:ascii="Arial" w:eastAsia="Arial" w:hAnsi="Arial" w:cs="Arial"/>
                <w:sz w:val="24"/>
                <w:szCs w:val="24"/>
              </w:rPr>
            </w:pPr>
            <w:r>
              <w:rPr>
                <w:rFonts w:ascii="Arial" w:eastAsia="Arial" w:hAnsi="Arial" w:cs="Arial"/>
                <w:sz w:val="24"/>
                <w:szCs w:val="24"/>
              </w:rPr>
              <w:t>Contact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Age and birth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Gender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Personal identifiers</w:t>
            </w:r>
          </w:p>
          <w:p w:rsidR="00E45C8A" w:rsidRDefault="00784E9C">
            <w:pPr>
              <w:spacing w:before="240" w:after="120"/>
              <w:rPr>
                <w:rFonts w:ascii="Arial" w:eastAsia="Arial" w:hAnsi="Arial" w:cs="Arial"/>
                <w:sz w:val="24"/>
                <w:szCs w:val="24"/>
              </w:rPr>
            </w:pPr>
            <w:r>
              <w:rPr>
                <w:rFonts w:ascii="Arial" w:eastAsia="Arial" w:hAnsi="Arial" w:cs="Arial"/>
                <w:sz w:val="24"/>
                <w:szCs w:val="24"/>
              </w:rPr>
              <w:t>Associate and Third-Party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Financial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Location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Employment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Nationality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Investigation information</w:t>
            </w:r>
          </w:p>
          <w:p w:rsidR="00E45C8A" w:rsidRDefault="00784E9C">
            <w:pPr>
              <w:spacing w:before="240" w:after="120"/>
              <w:rPr>
                <w:rFonts w:ascii="Arial" w:eastAsia="Arial" w:hAnsi="Arial" w:cs="Arial"/>
                <w:sz w:val="24"/>
                <w:szCs w:val="24"/>
              </w:rPr>
            </w:pPr>
            <w:r>
              <w:rPr>
                <w:rFonts w:ascii="Arial" w:eastAsia="Arial" w:hAnsi="Arial" w:cs="Arial"/>
                <w:sz w:val="24"/>
                <w:szCs w:val="24"/>
              </w:rPr>
              <w:t>Special category information</w:t>
            </w:r>
          </w:p>
        </w:tc>
      </w:tr>
      <w:tr w:rsidR="00E45C8A">
        <w:trPr>
          <w:trHeight w:val="15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45C8A" w:rsidRDefault="00784E9C">
            <w:pPr>
              <w:shd w:val="clear" w:color="auto" w:fill="FFFFFF"/>
              <w:spacing w:before="300" w:after="300" w:line="315" w:lineRule="auto"/>
              <w:rPr>
                <w:rFonts w:ascii="Arial" w:eastAsia="Arial" w:hAnsi="Arial" w:cs="Arial"/>
                <w:color w:val="0B0C0C"/>
                <w:sz w:val="24"/>
                <w:szCs w:val="24"/>
              </w:rPr>
            </w:pPr>
            <w:r>
              <w:rPr>
                <w:rFonts w:ascii="Arial" w:eastAsia="Arial" w:hAnsi="Arial" w:cs="Arial"/>
                <w:color w:val="0B0C0C"/>
                <w:sz w:val="24"/>
                <w:szCs w:val="24"/>
              </w:rPr>
              <w:t>We process information in respect of individuals provided when making a claim or applying for:</w:t>
            </w:r>
          </w:p>
          <w:p w:rsidR="00E45C8A" w:rsidRDefault="00784E9C">
            <w:pPr>
              <w:numPr>
                <w:ilvl w:val="0"/>
                <w:numId w:val="4"/>
              </w:numPr>
              <w:shd w:val="clear" w:color="auto" w:fill="FFFFFF"/>
              <w:spacing w:before="300" w:line="315" w:lineRule="auto"/>
              <w:ind w:left="1020"/>
              <w:rPr>
                <w:sz w:val="24"/>
                <w:szCs w:val="24"/>
              </w:rPr>
            </w:pPr>
            <w:r>
              <w:rPr>
                <w:rFonts w:ascii="Arial" w:eastAsia="Arial" w:hAnsi="Arial" w:cs="Arial"/>
                <w:color w:val="0B0C0C"/>
                <w:sz w:val="24"/>
                <w:szCs w:val="24"/>
              </w:rPr>
              <w:t>pension</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taxi driver licence</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market trader licence - voluntary</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personal alcohol licence - voluntary</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social housing (current tenants and individuals on a housing waiting list)</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Right to Buy (completed and in progress)</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transport pass and permit</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Council Tax Reduction Scheme</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Council Tax Single Person Discount</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Universal Credit</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Housing Benefit</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other state benefits</w:t>
            </w:r>
          </w:p>
          <w:p w:rsidR="00E45C8A" w:rsidRDefault="00784E9C">
            <w:pPr>
              <w:numPr>
                <w:ilvl w:val="0"/>
                <w:numId w:val="4"/>
              </w:numPr>
              <w:shd w:val="clear" w:color="auto" w:fill="FFFFFF"/>
              <w:spacing w:line="315" w:lineRule="auto"/>
              <w:ind w:left="1020"/>
              <w:rPr>
                <w:sz w:val="24"/>
                <w:szCs w:val="24"/>
              </w:rPr>
            </w:pPr>
            <w:r>
              <w:rPr>
                <w:rFonts w:ascii="Arial" w:eastAsia="Arial" w:hAnsi="Arial" w:cs="Arial"/>
                <w:color w:val="0B0C0C"/>
                <w:sz w:val="24"/>
                <w:szCs w:val="24"/>
              </w:rPr>
              <w:t>COVID-19 financial support</w:t>
            </w:r>
          </w:p>
          <w:p w:rsidR="00E45C8A" w:rsidRDefault="00784E9C">
            <w:pPr>
              <w:numPr>
                <w:ilvl w:val="0"/>
                <w:numId w:val="4"/>
              </w:numPr>
              <w:shd w:val="clear" w:color="auto" w:fill="FFFFFF"/>
              <w:spacing w:after="380" w:line="315" w:lineRule="auto"/>
              <w:ind w:left="1020"/>
              <w:rPr>
                <w:sz w:val="24"/>
                <w:szCs w:val="24"/>
              </w:rPr>
            </w:pPr>
            <w:r>
              <w:rPr>
                <w:rFonts w:ascii="Arial" w:eastAsia="Arial" w:hAnsi="Arial" w:cs="Arial"/>
                <w:color w:val="0B0C0C"/>
                <w:sz w:val="24"/>
                <w:szCs w:val="24"/>
              </w:rPr>
              <w:t>help with NHS health costs</w:t>
            </w:r>
          </w:p>
          <w:p w:rsidR="00E45C8A" w:rsidRDefault="00784E9C">
            <w:pPr>
              <w:shd w:val="clear" w:color="auto" w:fill="FFFFFF"/>
              <w:spacing w:before="300" w:after="300" w:line="315" w:lineRule="auto"/>
              <w:rPr>
                <w:rFonts w:ascii="Arial" w:eastAsia="Arial" w:hAnsi="Arial" w:cs="Arial"/>
                <w:color w:val="0B0C0C"/>
                <w:sz w:val="24"/>
                <w:szCs w:val="24"/>
              </w:rPr>
            </w:pPr>
            <w:r>
              <w:rPr>
                <w:rFonts w:ascii="Arial" w:eastAsia="Arial" w:hAnsi="Arial" w:cs="Arial"/>
                <w:color w:val="0B0C0C"/>
                <w:sz w:val="24"/>
                <w:szCs w:val="24"/>
              </w:rPr>
              <w:t>In addition to the above we also process information in relation to:</w:t>
            </w:r>
          </w:p>
          <w:p w:rsidR="00E45C8A" w:rsidRDefault="00784E9C">
            <w:pPr>
              <w:numPr>
                <w:ilvl w:val="0"/>
                <w:numId w:val="6"/>
              </w:numPr>
              <w:shd w:val="clear" w:color="auto" w:fill="FFFFFF"/>
              <w:spacing w:before="300" w:line="315" w:lineRule="auto"/>
              <w:ind w:left="1020"/>
              <w:rPr>
                <w:sz w:val="24"/>
                <w:szCs w:val="24"/>
              </w:rPr>
            </w:pPr>
            <w:r>
              <w:rPr>
                <w:rFonts w:ascii="Arial" w:eastAsia="Arial" w:hAnsi="Arial" w:cs="Arial"/>
                <w:color w:val="0B0C0C"/>
                <w:sz w:val="24"/>
                <w:szCs w:val="24"/>
              </w:rPr>
              <w:t>payment of an invoice from an organisation that takes part in the NFI. This is referred to as trade creditor standing and payment history data.</w:t>
            </w:r>
          </w:p>
          <w:p w:rsidR="00E45C8A" w:rsidRDefault="00784E9C">
            <w:pPr>
              <w:numPr>
                <w:ilvl w:val="0"/>
                <w:numId w:val="6"/>
              </w:numPr>
              <w:shd w:val="clear" w:color="auto" w:fill="FFFFFF"/>
              <w:spacing w:line="315" w:lineRule="auto"/>
              <w:ind w:left="1020"/>
              <w:rPr>
                <w:sz w:val="24"/>
                <w:szCs w:val="24"/>
              </w:rPr>
            </w:pPr>
            <w:r>
              <w:rPr>
                <w:rFonts w:ascii="Arial" w:eastAsia="Arial" w:hAnsi="Arial" w:cs="Arial"/>
                <w:color w:val="0B0C0C"/>
                <w:sz w:val="24"/>
                <w:szCs w:val="24"/>
              </w:rPr>
              <w:t>payment for employment from an organisation that takes part in the NFI. This is referred to as payroll data.</w:t>
            </w:r>
          </w:p>
          <w:p w:rsidR="00E45C8A" w:rsidRDefault="00784E9C">
            <w:pPr>
              <w:numPr>
                <w:ilvl w:val="0"/>
                <w:numId w:val="6"/>
              </w:numPr>
              <w:shd w:val="clear" w:color="auto" w:fill="FFFFFF"/>
              <w:spacing w:line="315" w:lineRule="auto"/>
              <w:ind w:left="1020"/>
              <w:rPr>
                <w:sz w:val="24"/>
                <w:szCs w:val="24"/>
              </w:rPr>
            </w:pPr>
            <w:r>
              <w:rPr>
                <w:rFonts w:ascii="Arial" w:eastAsia="Arial" w:hAnsi="Arial" w:cs="Arial"/>
                <w:color w:val="0B0C0C"/>
                <w:sz w:val="24"/>
                <w:szCs w:val="24"/>
              </w:rPr>
              <w:t>registering to vote. This is referred to as Electoral Register data.</w:t>
            </w:r>
          </w:p>
          <w:p w:rsidR="00E45C8A" w:rsidRDefault="00784E9C">
            <w:pPr>
              <w:numPr>
                <w:ilvl w:val="0"/>
                <w:numId w:val="6"/>
              </w:numPr>
              <w:shd w:val="clear" w:color="auto" w:fill="FFFFFF"/>
              <w:spacing w:line="315" w:lineRule="auto"/>
              <w:ind w:left="1020"/>
              <w:rPr>
                <w:sz w:val="24"/>
                <w:szCs w:val="24"/>
              </w:rPr>
            </w:pPr>
            <w:r>
              <w:rPr>
                <w:rFonts w:ascii="Arial" w:eastAsia="Arial" w:hAnsi="Arial" w:cs="Arial"/>
                <w:color w:val="0B0C0C"/>
                <w:sz w:val="24"/>
                <w:szCs w:val="24"/>
              </w:rPr>
              <w:t>business rates.</w:t>
            </w:r>
          </w:p>
          <w:p w:rsidR="00E45C8A" w:rsidRDefault="00784E9C">
            <w:pPr>
              <w:numPr>
                <w:ilvl w:val="0"/>
                <w:numId w:val="6"/>
              </w:numPr>
              <w:shd w:val="clear" w:color="auto" w:fill="FFFFFF"/>
              <w:spacing w:line="315" w:lineRule="auto"/>
              <w:ind w:left="1020"/>
              <w:rPr>
                <w:sz w:val="24"/>
                <w:szCs w:val="24"/>
              </w:rPr>
            </w:pPr>
            <w:r>
              <w:rPr>
                <w:rFonts w:ascii="Arial" w:eastAsia="Arial" w:hAnsi="Arial" w:cs="Arial"/>
                <w:color w:val="0B0C0C"/>
                <w:sz w:val="24"/>
                <w:szCs w:val="24"/>
              </w:rPr>
              <w:t>A grant operated by a local authority. This is referred to as the Landlord Incentive Scheme</w:t>
            </w:r>
          </w:p>
          <w:p w:rsidR="00E45C8A" w:rsidRDefault="00784E9C">
            <w:pPr>
              <w:numPr>
                <w:ilvl w:val="0"/>
                <w:numId w:val="6"/>
              </w:numPr>
              <w:shd w:val="clear" w:color="auto" w:fill="FFFFFF"/>
              <w:spacing w:line="315" w:lineRule="auto"/>
              <w:ind w:left="1020"/>
              <w:rPr>
                <w:sz w:val="24"/>
                <w:szCs w:val="24"/>
              </w:rPr>
            </w:pPr>
            <w:r>
              <w:rPr>
                <w:rFonts w:ascii="Arial" w:eastAsia="Arial" w:hAnsi="Arial" w:cs="Arial"/>
                <w:color w:val="0B0C0C"/>
                <w:sz w:val="24"/>
                <w:szCs w:val="24"/>
              </w:rPr>
              <w:t>Protection of deposits paid by home renters. This is referred to as the Deposit Protection Service.</w:t>
            </w:r>
          </w:p>
          <w:p w:rsidR="00E45C8A" w:rsidRDefault="00784E9C">
            <w:pPr>
              <w:numPr>
                <w:ilvl w:val="0"/>
                <w:numId w:val="6"/>
              </w:numPr>
              <w:shd w:val="clear" w:color="auto" w:fill="FFFFFF"/>
              <w:spacing w:after="380" w:line="315" w:lineRule="auto"/>
              <w:ind w:left="1020"/>
              <w:rPr>
                <w:sz w:val="24"/>
                <w:szCs w:val="24"/>
              </w:rPr>
            </w:pPr>
            <w:r>
              <w:rPr>
                <w:rFonts w:ascii="Arial" w:eastAsia="Arial" w:hAnsi="Arial" w:cs="Arial"/>
                <w:color w:val="0B0C0C"/>
                <w:sz w:val="24"/>
                <w:szCs w:val="24"/>
              </w:rPr>
              <w:lastRenderedPageBreak/>
              <w:t>Properties advertised and let for short periods. This is referred to as Short term rental of housing data</w:t>
            </w:r>
          </w:p>
          <w:p w:rsidR="00E45C8A" w:rsidRDefault="00784E9C">
            <w:pPr>
              <w:shd w:val="clear" w:color="auto" w:fill="FFFFFF"/>
              <w:spacing w:before="300" w:after="380" w:line="315" w:lineRule="auto"/>
              <w:rPr>
                <w:rFonts w:ascii="Arial" w:eastAsia="Arial" w:hAnsi="Arial" w:cs="Arial"/>
                <w:sz w:val="24"/>
                <w:szCs w:val="24"/>
                <w:highlight w:val="yellow"/>
              </w:rPr>
            </w:pPr>
            <w:r>
              <w:rPr>
                <w:rFonts w:ascii="Arial" w:eastAsia="Arial" w:hAnsi="Arial" w:cs="Arial"/>
                <w:color w:val="0B0C0C"/>
                <w:sz w:val="24"/>
                <w:szCs w:val="24"/>
              </w:rPr>
              <w:t xml:space="preserve">This varies depending on the NFI work programme, an up to date list is contained in the </w:t>
            </w:r>
            <w:hyperlink r:id="rId9">
              <w:r>
                <w:rPr>
                  <w:rFonts w:ascii="Arial" w:eastAsia="Arial" w:hAnsi="Arial" w:cs="Arial"/>
                  <w:color w:val="1155CC"/>
                  <w:sz w:val="24"/>
                  <w:szCs w:val="24"/>
                  <w:u w:val="single"/>
                </w:rPr>
                <w:t>NFI Privacy Notice</w:t>
              </w:r>
            </w:hyperlink>
            <w:r>
              <w:rPr>
                <w:rFonts w:ascii="Arial" w:eastAsia="Arial" w:hAnsi="Arial" w:cs="Arial"/>
                <w:color w:val="0B0C0C"/>
                <w:sz w:val="24"/>
                <w:szCs w:val="24"/>
              </w:rPr>
              <w:t xml:space="preserve"> on GOV.UK. </w:t>
            </w:r>
          </w:p>
        </w:tc>
      </w:tr>
      <w:tr w:rsidR="00E45C8A">
        <w:trPr>
          <w:trHeight w:val="16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rsidR="00E45C8A" w:rsidRDefault="00784E9C">
            <w:pPr>
              <w:spacing w:before="120" w:after="12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Data retention is covered by the </w:t>
            </w:r>
            <w:hyperlink r:id="rId10">
              <w:r>
                <w:rPr>
                  <w:rFonts w:ascii="Arial" w:eastAsia="Arial" w:hAnsi="Arial" w:cs="Arial"/>
                  <w:color w:val="1155CC"/>
                  <w:sz w:val="24"/>
                  <w:szCs w:val="24"/>
                  <w:u w:val="single"/>
                </w:rPr>
                <w:t>Code of Data Matching Practice</w:t>
              </w:r>
            </w:hyperlink>
            <w:r>
              <w:rPr>
                <w:rFonts w:ascii="Arial" w:eastAsia="Arial" w:hAnsi="Arial" w:cs="Arial"/>
                <w:sz w:val="24"/>
                <w:szCs w:val="24"/>
              </w:rPr>
              <w:t xml:space="preserve"> and a separate Data Deletion Schedule is published on GOV.UK setting out specific details around data and match retention periods. </w:t>
            </w:r>
          </w:p>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Data processed by the Supplier as a data processor will be destroyed or returned before the termination or expiry of this Agreement. </w:t>
            </w:r>
          </w:p>
          <w:p w:rsidR="00E45C8A" w:rsidRDefault="00E45C8A">
            <w:pPr>
              <w:spacing w:before="120" w:after="120"/>
              <w:rPr>
                <w:rFonts w:ascii="Arial" w:eastAsia="Arial" w:hAnsi="Arial" w:cs="Arial"/>
                <w:sz w:val="24"/>
                <w:szCs w:val="24"/>
                <w:highlight w:val="yellow"/>
              </w:rPr>
            </w:pPr>
          </w:p>
        </w:tc>
      </w:tr>
      <w:tr w:rsidR="00E45C8A">
        <w:trPr>
          <w:trHeight w:val="16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Locations at which the Supplier and/or its Sub-contractors process Personal Data under this Contract and international transfers and legal gateway</w:t>
            </w:r>
          </w:p>
        </w:tc>
        <w:tc>
          <w:tcPr>
            <w:tcW w:w="7423" w:type="dxa"/>
            <w:shd w:val="clear" w:color="auto" w:fill="auto"/>
          </w:tcPr>
          <w:p w:rsidR="00E45C8A" w:rsidRDefault="00E45C8A">
            <w:pPr>
              <w:spacing w:before="120" w:after="120"/>
              <w:rPr>
                <w:rFonts w:ascii="Arial" w:eastAsia="Arial" w:hAnsi="Arial" w:cs="Arial"/>
                <w:sz w:val="24"/>
                <w:szCs w:val="24"/>
              </w:rPr>
            </w:pPr>
          </w:p>
          <w:p w:rsidR="00E45C8A" w:rsidRPr="000C7868" w:rsidRDefault="00784E9C" w:rsidP="000C7868">
            <w:pPr>
              <w:rPr>
                <w:rFonts w:ascii="Arial" w:eastAsia="Arial" w:hAnsi="Arial" w:cs="Arial"/>
                <w:b/>
                <w:sz w:val="24"/>
                <w:szCs w:val="24"/>
              </w:rPr>
            </w:pPr>
            <w:r>
              <w:rPr>
                <w:rFonts w:ascii="Arial" w:eastAsia="Arial" w:hAnsi="Arial" w:cs="Arial"/>
                <w:sz w:val="24"/>
                <w:szCs w:val="24"/>
              </w:rPr>
              <w:t xml:space="preserve">The Supplier’s premises/ operational offices are at </w:t>
            </w:r>
            <w:r w:rsidR="000C7868" w:rsidRPr="003331B8">
              <w:rPr>
                <w:rFonts w:ascii="Arial" w:eastAsia="Arial" w:hAnsi="Arial" w:cs="Arial"/>
                <w:b/>
                <w:sz w:val="24"/>
                <w:szCs w:val="24"/>
              </w:rPr>
              <w:t>Redacted under FOIA section 43, Commercial Interests</w:t>
            </w:r>
            <w:r>
              <w:rPr>
                <w:rFonts w:ascii="Arial" w:eastAsia="Arial" w:hAnsi="Arial" w:cs="Arial"/>
                <w:sz w:val="24"/>
                <w:szCs w:val="24"/>
              </w:rPr>
              <w:t xml:space="preserve">.  Data is stored and processed in two Supplier Data Centres in </w:t>
            </w:r>
            <w:r w:rsidR="000C7868" w:rsidRPr="003331B8">
              <w:rPr>
                <w:rFonts w:ascii="Arial" w:eastAsia="Arial" w:hAnsi="Arial" w:cs="Arial"/>
                <w:b/>
                <w:sz w:val="24"/>
                <w:szCs w:val="24"/>
              </w:rPr>
              <w:t>Redacted under FOIA section 43, Commercial Interests</w:t>
            </w:r>
            <w:r w:rsidR="000C7868">
              <w:rPr>
                <w:rFonts w:ascii="Arial" w:eastAsia="Arial" w:hAnsi="Arial" w:cs="Arial"/>
                <w:b/>
                <w:sz w:val="24"/>
                <w:szCs w:val="24"/>
              </w:rPr>
              <w:t xml:space="preserve"> </w:t>
            </w:r>
            <w:r w:rsidR="000C7868" w:rsidRPr="000C7868">
              <w:rPr>
                <w:rFonts w:ascii="Arial" w:eastAsia="Arial" w:hAnsi="Arial" w:cs="Arial"/>
                <w:sz w:val="24"/>
                <w:szCs w:val="24"/>
              </w:rPr>
              <w:t>UK</w:t>
            </w:r>
            <w:r>
              <w:rPr>
                <w:rFonts w:ascii="Arial" w:eastAsia="Arial" w:hAnsi="Arial" w:cs="Arial"/>
                <w:sz w:val="24"/>
                <w:szCs w:val="24"/>
              </w:rPr>
              <w:t>. Data is accessed by approved participating authorities (approval of authority and location is granted by the Controller) through NFI Products.</w:t>
            </w:r>
          </w:p>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The </w:t>
            </w:r>
            <w:proofErr w:type="gramStart"/>
            <w:r>
              <w:rPr>
                <w:rFonts w:ascii="Arial" w:eastAsia="Arial" w:hAnsi="Arial" w:cs="Arial"/>
                <w:sz w:val="24"/>
                <w:szCs w:val="24"/>
              </w:rPr>
              <w:t>Buyer  will</w:t>
            </w:r>
            <w:proofErr w:type="gramEnd"/>
            <w:r>
              <w:rPr>
                <w:rFonts w:ascii="Arial" w:eastAsia="Arial" w:hAnsi="Arial" w:cs="Arial"/>
                <w:sz w:val="24"/>
                <w:szCs w:val="24"/>
              </w:rPr>
              <w:t xml:space="preserve"> require all aspects of the delivery of the </w:t>
            </w:r>
            <w:bookmarkStart w:id="29" w:name="_GoBack"/>
            <w:bookmarkEnd w:id="29"/>
            <w:r>
              <w:rPr>
                <w:rFonts w:ascii="Arial" w:eastAsia="Arial" w:hAnsi="Arial" w:cs="Arial"/>
                <w:sz w:val="24"/>
                <w:szCs w:val="24"/>
              </w:rPr>
              <w:t>Services including development activities, data processing, hosting and the provision of ancillary &amp; supporting services to be undertaken only within the UK, EEA or any other country which is subject to an UK Adequacy Regulation as per the UK GDPR, unless it has given prior written consent.</w:t>
            </w:r>
          </w:p>
        </w:tc>
      </w:tr>
      <w:tr w:rsidR="00E45C8A">
        <w:trPr>
          <w:trHeight w:val="1660"/>
        </w:trPr>
        <w:tc>
          <w:tcPr>
            <w:tcW w:w="2263" w:type="dxa"/>
            <w:shd w:val="clear" w:color="auto" w:fill="auto"/>
          </w:tcPr>
          <w:p w:rsidR="00E45C8A" w:rsidRDefault="00784E9C">
            <w:pPr>
              <w:spacing w:before="120" w:after="120"/>
              <w:rPr>
                <w:rFonts w:ascii="Arial" w:eastAsia="Arial" w:hAnsi="Arial" w:cs="Arial"/>
                <w:sz w:val="24"/>
                <w:szCs w:val="24"/>
              </w:rPr>
            </w:pPr>
            <w:r>
              <w:rPr>
                <w:rFonts w:ascii="Arial" w:eastAsia="Arial" w:hAnsi="Arial" w:cs="Arial"/>
                <w:sz w:val="24"/>
                <w:szCs w:val="24"/>
              </w:rPr>
              <w:t xml:space="preserve">Protective Measures that the Supplier and, where applicable, its Sub-contractors have implemented to protect Personal Data processed under this Contract Agreement against a breach of security (insofar as that breach of security relates to </w:t>
            </w:r>
            <w:r>
              <w:rPr>
                <w:rFonts w:ascii="Arial" w:eastAsia="Arial" w:hAnsi="Arial" w:cs="Arial"/>
                <w:sz w:val="24"/>
                <w:szCs w:val="24"/>
              </w:rPr>
              <w:lastRenderedPageBreak/>
              <w:t>data) or a Data Loss Event</w:t>
            </w:r>
          </w:p>
        </w:tc>
        <w:tc>
          <w:tcPr>
            <w:tcW w:w="7423" w:type="dxa"/>
            <w:shd w:val="clear" w:color="auto" w:fill="auto"/>
          </w:tcPr>
          <w:p w:rsidR="00E45C8A" w:rsidRDefault="00784E9C">
            <w:pPr>
              <w:spacing w:before="240" w:after="240"/>
              <w:rPr>
                <w:rFonts w:ascii="Arial" w:eastAsia="Arial" w:hAnsi="Arial" w:cs="Arial"/>
                <w:sz w:val="24"/>
                <w:szCs w:val="24"/>
              </w:rPr>
            </w:pPr>
            <w:r>
              <w:rPr>
                <w:rFonts w:ascii="Arial" w:eastAsia="Arial" w:hAnsi="Arial" w:cs="Arial"/>
                <w:sz w:val="24"/>
                <w:szCs w:val="24"/>
              </w:rPr>
              <w:lastRenderedPageBreak/>
              <w:t xml:space="preserve">The National Fraud Initiative (NFI) system goes through an annual accreditation process to store, handle and process information classified as OFFICIAL. OFFICIAL-SENSITIVE where the caveat is used to cover sensitive personal information which can also be processed by the system. </w:t>
            </w:r>
          </w:p>
          <w:p w:rsidR="00E45C8A" w:rsidRDefault="00784E9C">
            <w:pPr>
              <w:spacing w:before="240" w:after="240"/>
              <w:rPr>
                <w:rFonts w:ascii="Arial" w:eastAsia="Arial" w:hAnsi="Arial" w:cs="Arial"/>
                <w:sz w:val="24"/>
                <w:szCs w:val="24"/>
              </w:rPr>
            </w:pPr>
            <w:r>
              <w:rPr>
                <w:rFonts w:ascii="Arial" w:eastAsia="Arial" w:hAnsi="Arial" w:cs="Arial"/>
                <w:sz w:val="24"/>
                <w:szCs w:val="24"/>
              </w:rPr>
              <w:t>The Supplier undertakes the following security assurance activities to demonstrate that the people, process, technical and physical controls have been delivered in an effective way:</w:t>
            </w:r>
          </w:p>
          <w:p w:rsidR="00E45C8A" w:rsidRDefault="00784E9C">
            <w:pPr>
              <w:numPr>
                <w:ilvl w:val="0"/>
                <w:numId w:val="5"/>
              </w:numPr>
              <w:spacing w:before="240"/>
              <w:rPr>
                <w:rFonts w:ascii="Arial" w:eastAsia="Arial" w:hAnsi="Arial" w:cs="Arial"/>
                <w:sz w:val="24"/>
                <w:szCs w:val="24"/>
              </w:rPr>
            </w:pPr>
            <w:r>
              <w:rPr>
                <w:rFonts w:ascii="Arial" w:eastAsia="Arial" w:hAnsi="Arial" w:cs="Arial"/>
                <w:sz w:val="24"/>
                <w:szCs w:val="24"/>
              </w:rPr>
              <w:t>Penetration testing to be carried out by certified CHECK Supplier.</w:t>
            </w:r>
          </w:p>
          <w:p w:rsidR="00E45C8A" w:rsidRDefault="00784E9C">
            <w:pPr>
              <w:numPr>
                <w:ilvl w:val="0"/>
                <w:numId w:val="5"/>
              </w:numPr>
              <w:rPr>
                <w:rFonts w:ascii="Arial" w:eastAsia="Arial" w:hAnsi="Arial" w:cs="Arial"/>
                <w:sz w:val="24"/>
                <w:szCs w:val="24"/>
              </w:rPr>
            </w:pPr>
            <w:r>
              <w:rPr>
                <w:rFonts w:ascii="Arial" w:eastAsia="Arial" w:hAnsi="Arial" w:cs="Arial"/>
                <w:sz w:val="24"/>
                <w:szCs w:val="24"/>
              </w:rPr>
              <w:lastRenderedPageBreak/>
              <w:t>Penetration testing of the production environment before the first release to that environment and at such times after that as the PSFA may require.</w:t>
            </w:r>
          </w:p>
          <w:p w:rsidR="00E45C8A" w:rsidRDefault="00784E9C">
            <w:pPr>
              <w:numPr>
                <w:ilvl w:val="0"/>
                <w:numId w:val="5"/>
              </w:numPr>
              <w:spacing w:after="240"/>
              <w:rPr>
                <w:rFonts w:ascii="Arial" w:eastAsia="Arial" w:hAnsi="Arial" w:cs="Arial"/>
                <w:sz w:val="24"/>
                <w:szCs w:val="24"/>
              </w:rPr>
            </w:pPr>
            <w:r>
              <w:rPr>
                <w:rFonts w:ascii="Arial" w:eastAsia="Arial" w:hAnsi="Arial" w:cs="Arial"/>
                <w:sz w:val="24"/>
                <w:szCs w:val="24"/>
              </w:rPr>
              <w:t>An annual IT Health Check and where there is a significant change to infrastructure/service.</w:t>
            </w:r>
          </w:p>
          <w:p w:rsidR="00E45C8A" w:rsidRDefault="00784E9C">
            <w:pPr>
              <w:spacing w:before="240" w:after="240"/>
              <w:rPr>
                <w:rFonts w:ascii="Arial" w:eastAsia="Arial" w:hAnsi="Arial" w:cs="Arial"/>
                <w:sz w:val="24"/>
                <w:szCs w:val="24"/>
              </w:rPr>
            </w:pPr>
            <w:r>
              <w:rPr>
                <w:rFonts w:ascii="Arial" w:eastAsia="Arial" w:hAnsi="Arial" w:cs="Arial"/>
                <w:sz w:val="24"/>
                <w:szCs w:val="24"/>
              </w:rPr>
              <w:t xml:space="preserve">The full IT health check report is shared with the PSFA Security Working Group and the Supplier must produce a remediation </w:t>
            </w:r>
            <w:proofErr w:type="spellStart"/>
            <w:proofErr w:type="gramStart"/>
            <w:r>
              <w:rPr>
                <w:rFonts w:ascii="Arial" w:eastAsia="Arial" w:hAnsi="Arial" w:cs="Arial"/>
                <w:sz w:val="24"/>
                <w:szCs w:val="24"/>
              </w:rPr>
              <w:t>plan..</w:t>
            </w:r>
            <w:proofErr w:type="gramEnd"/>
            <w:r>
              <w:rPr>
                <w:rFonts w:ascii="Arial" w:eastAsia="Arial" w:hAnsi="Arial" w:cs="Arial"/>
                <w:sz w:val="24"/>
                <w:szCs w:val="24"/>
              </w:rPr>
              <w:t>The</w:t>
            </w:r>
            <w:proofErr w:type="spellEnd"/>
            <w:r>
              <w:rPr>
                <w:rFonts w:ascii="Arial" w:eastAsia="Arial" w:hAnsi="Arial" w:cs="Arial"/>
                <w:sz w:val="24"/>
                <w:szCs w:val="24"/>
              </w:rPr>
              <w:t xml:space="preserve"> National Fraud Initiative (NFI) system is the responsibility of the Cabinet Office and it is operated by </w:t>
            </w:r>
            <w:r w:rsidR="000C7868" w:rsidRPr="003331B8">
              <w:rPr>
                <w:rFonts w:ascii="Arial" w:eastAsia="Arial" w:hAnsi="Arial" w:cs="Arial"/>
                <w:b/>
                <w:sz w:val="24"/>
                <w:szCs w:val="24"/>
              </w:rPr>
              <w:t>Redacted under FOIA section 43, Commercial Interests</w:t>
            </w:r>
            <w:r>
              <w:rPr>
                <w:rFonts w:ascii="Arial" w:eastAsia="Arial" w:hAnsi="Arial" w:cs="Arial"/>
                <w:sz w:val="24"/>
                <w:szCs w:val="24"/>
              </w:rPr>
              <w:t xml:space="preserve"> as their Service Provider. Both organisations fully cooperate with the accreditation process and implement controls to the necessary levels.</w:t>
            </w:r>
          </w:p>
          <w:p w:rsidR="00E45C8A" w:rsidRDefault="00784E9C">
            <w:pPr>
              <w:spacing w:before="240" w:after="240"/>
              <w:rPr>
                <w:rFonts w:ascii="Arial" w:eastAsia="Arial" w:hAnsi="Arial" w:cs="Arial"/>
                <w:sz w:val="24"/>
                <w:szCs w:val="24"/>
                <w:highlight w:val="yellow"/>
              </w:rPr>
            </w:pPr>
            <w:r>
              <w:rPr>
                <w:rFonts w:ascii="Arial" w:eastAsia="Arial" w:hAnsi="Arial" w:cs="Arial"/>
                <w:sz w:val="24"/>
                <w:szCs w:val="24"/>
              </w:rPr>
              <w:t xml:space="preserve">The information on the NFI system has undergone a full impact level assessment which is documented in the NFI Security Aspects Letter. Information aggregation has been </w:t>
            </w:r>
            <w:proofErr w:type="gramStart"/>
            <w:r>
              <w:rPr>
                <w:rFonts w:ascii="Arial" w:eastAsia="Arial" w:hAnsi="Arial" w:cs="Arial"/>
                <w:sz w:val="24"/>
                <w:szCs w:val="24"/>
              </w:rPr>
              <w:t>taken into account</w:t>
            </w:r>
            <w:proofErr w:type="gramEnd"/>
            <w:r>
              <w:rPr>
                <w:rFonts w:ascii="Arial" w:eastAsia="Arial" w:hAnsi="Arial" w:cs="Arial"/>
                <w:sz w:val="24"/>
                <w:szCs w:val="24"/>
              </w:rPr>
              <w:t xml:space="preserve"> and the impact assessed accordingly.</w:t>
            </w:r>
          </w:p>
        </w:tc>
      </w:tr>
    </w:tbl>
    <w:p w:rsidR="00E45C8A" w:rsidRDefault="00E45C8A">
      <w:pPr>
        <w:rPr>
          <w:rFonts w:ascii="Arial" w:eastAsia="Arial" w:hAnsi="Arial" w:cs="Arial"/>
          <w:b/>
          <w:sz w:val="24"/>
          <w:szCs w:val="24"/>
        </w:rPr>
      </w:pPr>
    </w:p>
    <w:p w:rsidR="00E45C8A" w:rsidRDefault="00784E9C">
      <w:pPr>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Annex </w:t>
      </w:r>
      <w:bookmarkStart w:id="30" w:name="bookmark=id.2bn6wsx" w:colFirst="0" w:colLast="0"/>
      <w:bookmarkEnd w:id="30"/>
      <w:r>
        <w:rPr>
          <w:rFonts w:ascii="Arial" w:eastAsia="Arial" w:hAnsi="Arial" w:cs="Arial"/>
          <w:b/>
          <w:color w:val="000000"/>
          <w:sz w:val="36"/>
          <w:szCs w:val="36"/>
        </w:rPr>
        <w:t>2 - Joint Controller Agreement</w:t>
      </w:r>
    </w:p>
    <w:p w:rsidR="00E45C8A" w:rsidRDefault="00784E9C">
      <w:pPr>
        <w:keepNext/>
        <w:numPr>
          <w:ilvl w:val="0"/>
          <w:numId w:val="2"/>
        </w:numPr>
        <w:pBdr>
          <w:top w:val="nil"/>
          <w:left w:val="nil"/>
          <w:bottom w:val="nil"/>
          <w:right w:val="nil"/>
          <w:between w:val="nil"/>
        </w:pBdr>
        <w:spacing w:before="120" w:after="240" w:line="240" w:lineRule="auto"/>
        <w:rPr>
          <w:rFonts w:ascii="Arial" w:eastAsia="Arial" w:hAnsi="Arial" w:cs="Arial"/>
          <w:color w:val="000000"/>
          <w:sz w:val="24"/>
          <w:szCs w:val="24"/>
        </w:rPr>
      </w:pPr>
      <w:r>
        <w:rPr>
          <w:rFonts w:ascii="Arial" w:eastAsia="Arial" w:hAnsi="Arial" w:cs="Arial"/>
          <w:b/>
          <w:sz w:val="24"/>
          <w:szCs w:val="24"/>
        </w:rPr>
        <w:t>NOT USED</w:t>
      </w:r>
    </w:p>
    <w:p w:rsidR="00E45C8A" w:rsidRDefault="00E45C8A">
      <w:pPr>
        <w:pBdr>
          <w:top w:val="nil"/>
          <w:left w:val="nil"/>
          <w:bottom w:val="nil"/>
          <w:right w:val="nil"/>
          <w:between w:val="nil"/>
        </w:pBdr>
        <w:spacing w:before="120" w:after="120" w:line="240" w:lineRule="auto"/>
        <w:ind w:left="360"/>
        <w:rPr>
          <w:rFonts w:ascii="Arial" w:eastAsia="Arial" w:hAnsi="Arial" w:cs="Arial"/>
          <w:color w:val="000000"/>
          <w:sz w:val="24"/>
          <w:szCs w:val="24"/>
        </w:rPr>
      </w:pPr>
    </w:p>
    <w:sectPr w:rsidR="00E45C8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030" w:rsidRDefault="00493030">
      <w:pPr>
        <w:spacing w:after="0" w:line="240" w:lineRule="auto"/>
      </w:pPr>
      <w:r>
        <w:separator/>
      </w:r>
    </w:p>
  </w:endnote>
  <w:endnote w:type="continuationSeparator" w:id="0">
    <w:p w:rsidR="00493030" w:rsidRDefault="00493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E45C8A">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784E9C">
    <w:pPr>
      <w:tabs>
        <w:tab w:val="center" w:pos="4513"/>
        <w:tab w:val="right" w:pos="9026"/>
      </w:tabs>
      <w:spacing w:after="0"/>
      <w:rPr>
        <w:rFonts w:ascii="Arial" w:eastAsia="Arial" w:hAnsi="Arial" w:cs="Arial"/>
        <w:sz w:val="20"/>
        <w:szCs w:val="20"/>
      </w:rPr>
    </w:pPr>
    <w:r>
      <w:rPr>
        <w:rFonts w:ascii="Arial" w:eastAsia="Arial" w:hAnsi="Arial" w:cs="Arial"/>
        <w:sz w:val="20"/>
        <w:szCs w:val="20"/>
      </w:rPr>
      <w:t>v.1.2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7574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45C8A" w:rsidRDefault="00784E9C">
    <w:pPr>
      <w:spacing w:after="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784E9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45C8A" w:rsidRDefault="00784E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45C8A" w:rsidRDefault="00784E9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030" w:rsidRDefault="00493030">
      <w:pPr>
        <w:spacing w:after="0" w:line="240" w:lineRule="auto"/>
      </w:pPr>
      <w:r>
        <w:separator/>
      </w:r>
    </w:p>
  </w:footnote>
  <w:footnote w:type="continuationSeparator" w:id="0">
    <w:p w:rsidR="00493030" w:rsidRDefault="004930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E45C8A">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784E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20 (Processing Data), Crown Copyright</w:t>
    </w:r>
    <w:r>
      <w:rPr>
        <w:rFonts w:ascii="Arial" w:eastAsia="Arial" w:hAnsi="Arial" w:cs="Arial"/>
        <w:color w:val="000000"/>
        <w:sz w:val="14"/>
        <w:szCs w:val="14"/>
      </w:rPr>
      <w:t xml:space="preserve"> </w:t>
    </w:r>
    <w:r>
      <w:rPr>
        <w:rFonts w:ascii="Arial" w:eastAsia="Arial" w:hAnsi="Arial" w:cs="Arial"/>
        <w:color w:val="000000"/>
        <w:sz w:val="20"/>
        <w:szCs w:val="20"/>
      </w:rPr>
      <w:t>2023, [Subject to Contract]</w:t>
    </w:r>
  </w:p>
  <w:p w:rsidR="00E45C8A" w:rsidRDefault="00E45C8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C8A" w:rsidRDefault="00784E9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D5BD1"/>
    <w:multiLevelType w:val="multilevel"/>
    <w:tmpl w:val="67BAE5C8"/>
    <w:lvl w:ilvl="0">
      <w:start w:val="1"/>
      <w:numFmt w:val="decimal"/>
      <w:pStyle w:val="Schedule"/>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Part"/>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eduleTit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eduleUntitledsubclause1"/>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ScheduleUntitledsubclause2"/>
      <w:lvlText w:val="(%5)"/>
      <w:lvlJc w:val="left"/>
      <w:pPr>
        <w:ind w:left="3312" w:hanging="706"/>
      </w:pPr>
      <w:rPr>
        <w:rFonts w:ascii="Arial" w:eastAsia="Arial" w:hAnsi="Arial" w:cs="Arial"/>
        <w:b w:val="0"/>
        <w:i w:val="0"/>
        <w:smallCaps w:val="0"/>
        <w:strike w:val="0"/>
        <w:color w:val="000000"/>
        <w:sz w:val="24"/>
        <w:szCs w:val="24"/>
        <w:u w:val="none"/>
        <w:vertAlign w:val="baseline"/>
      </w:rPr>
    </w:lvl>
    <w:lvl w:ilvl="5">
      <w:start w:val="1"/>
      <w:numFmt w:val="upperLetter"/>
      <w:pStyle w:val="ScheduleUntitledsubclause3"/>
      <w:lvlText w:val="(%6)"/>
      <w:lvlJc w:val="left"/>
      <w:pPr>
        <w:ind w:left="1440" w:hanging="1080"/>
      </w:pPr>
      <w:rPr>
        <w:rFonts w:ascii="Arial" w:eastAsia="Arial" w:hAnsi="Arial" w:cs="Arial"/>
        <w:b w:val="0"/>
        <w:i w:val="0"/>
        <w:smallCaps w:val="0"/>
        <w:strike w:val="0"/>
        <w:color w:val="000000"/>
        <w:sz w:val="24"/>
        <w:szCs w:val="24"/>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1645F6"/>
    <w:multiLevelType w:val="multilevel"/>
    <w:tmpl w:val="6B4A6FFE"/>
    <w:lvl w:ilvl="0">
      <w:start w:val="1"/>
      <w:numFmt w:val="bullet"/>
      <w:pStyle w:val="GPSL1Numbered"/>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
      <w:lvlText w:val="■"/>
      <w:lvlJc w:val="left"/>
      <w:pPr>
        <w:ind w:left="2160" w:hanging="360"/>
      </w:pPr>
      <w:rPr>
        <w:u w:val="none"/>
      </w:rPr>
    </w:lvl>
    <w:lvl w:ilvl="3">
      <w:start w:val="1"/>
      <w:numFmt w:val="bullet"/>
      <w:pStyle w:val="GPSL4numbered"/>
      <w:lvlText w:val="●"/>
      <w:lvlJc w:val="left"/>
      <w:pPr>
        <w:ind w:left="2880" w:hanging="360"/>
      </w:pPr>
      <w:rPr>
        <w:u w:val="none"/>
      </w:rPr>
    </w:lvl>
    <w:lvl w:ilvl="4">
      <w:start w:val="1"/>
      <w:numFmt w:val="bullet"/>
      <w:pStyle w:val="GPSL5NUMBERED"/>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812E5B"/>
    <w:multiLevelType w:val="multilevel"/>
    <w:tmpl w:val="0BBA2E56"/>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086C94"/>
    <w:multiLevelType w:val="multilevel"/>
    <w:tmpl w:val="6C603D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4539D7"/>
    <w:multiLevelType w:val="multilevel"/>
    <w:tmpl w:val="65E6C46C"/>
    <w:lvl w:ilvl="0">
      <w:start w:val="1"/>
      <w:numFmt w:val="decimal"/>
      <w:pStyle w:val="ABackground"/>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pStyle w:val="BackSub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F713C46"/>
    <w:multiLevelType w:val="multilevel"/>
    <w:tmpl w:val="0B16CE40"/>
    <w:lvl w:ilvl="0">
      <w:start w:val="1"/>
      <w:numFmt w:val="bullet"/>
      <w:lvlText w:val="●"/>
      <w:lvlJc w:val="left"/>
      <w:pPr>
        <w:ind w:left="720" w:hanging="360"/>
      </w:pPr>
      <w:rPr>
        <w:rFonts w:ascii="Arial" w:eastAsia="Arial" w:hAnsi="Arial" w:cs="Arial"/>
        <w:color w:val="0B0C0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271750"/>
    <w:multiLevelType w:val="multilevel"/>
    <w:tmpl w:val="0010D59A"/>
    <w:lvl w:ilvl="0">
      <w:start w:val="1"/>
      <w:numFmt w:val="bullet"/>
      <w:lvlText w:val="●"/>
      <w:lvlJc w:val="left"/>
      <w:pPr>
        <w:ind w:left="720" w:hanging="360"/>
      </w:pPr>
      <w:rPr>
        <w:rFonts w:ascii="Arial" w:eastAsia="Arial" w:hAnsi="Arial" w:cs="Arial"/>
        <w:color w:val="0B0C0C"/>
        <w:u w:val="none"/>
      </w:rPr>
    </w:lvl>
    <w:lvl w:ilvl="1">
      <w:start w:val="1"/>
      <w:numFmt w:val="bullet"/>
      <w:lvlText w:val="○"/>
      <w:lvlJc w:val="left"/>
      <w:pPr>
        <w:ind w:left="1440" w:hanging="360"/>
      </w:pPr>
      <w:rPr>
        <w:u w:val="none"/>
      </w:rPr>
    </w:lvl>
    <w:lvl w:ilvl="2">
      <w:start w:val="1"/>
      <w:numFmt w:val="bullet"/>
      <w:pStyle w:val="TLTLevel3"/>
      <w:lvlText w:val="■"/>
      <w:lvlJc w:val="left"/>
      <w:pPr>
        <w:ind w:left="2160" w:hanging="360"/>
      </w:pPr>
      <w:rPr>
        <w:u w:val="none"/>
      </w:rPr>
    </w:lvl>
    <w:lvl w:ilvl="3">
      <w:start w:val="1"/>
      <w:numFmt w:val="bullet"/>
      <w:pStyle w:val="TLTLevel4"/>
      <w:lvlText w:val="●"/>
      <w:lvlJc w:val="left"/>
      <w:pPr>
        <w:ind w:left="2880" w:hanging="360"/>
      </w:pPr>
      <w:rPr>
        <w:u w:val="none"/>
      </w:rPr>
    </w:lvl>
    <w:lvl w:ilvl="4">
      <w:start w:val="1"/>
      <w:numFmt w:val="bullet"/>
      <w:pStyle w:val="TLTLevel5"/>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64C1F56"/>
    <w:multiLevelType w:val="multilevel"/>
    <w:tmpl w:val="9D1CAAF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rFonts w:ascii="Arial" w:eastAsia="Arial" w:hAnsi="Arial" w:cs="Arial"/>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7"/>
  </w:num>
  <w:num w:numId="3">
    <w:abstractNumId w:val="4"/>
  </w:num>
  <w:num w:numId="4">
    <w:abstractNumId w:val="6"/>
  </w:num>
  <w:num w:numId="5">
    <w:abstractNumId w:val="1"/>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C8A"/>
    <w:rsid w:val="000C7868"/>
    <w:rsid w:val="00493030"/>
    <w:rsid w:val="00775748"/>
    <w:rsid w:val="00784E9C"/>
    <w:rsid w:val="008E2A35"/>
    <w:rsid w:val="00933D5C"/>
    <w:rsid w:val="00E45C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203C7"/>
  <w15:docId w15:val="{D00B55CD-80E2-478A-8ED1-C9A286D3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semiHidden/>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sid w:val="00880CB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uiPriority w:val="99"/>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4"/>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4"/>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6">
    <w:name w:val="6"/>
    <w:basedOn w:val="TableNormal"/>
    <w:tblPr>
      <w:tblStyleRowBandSize w:val="1"/>
      <w:tblStyleColBandSize w:val="1"/>
      <w:tblCellMar>
        <w:left w:w="115" w:type="dxa"/>
        <w:right w:w="115" w:type="dxa"/>
      </w:tblCellMar>
    </w:tblPr>
  </w:style>
  <w:style w:type="paragraph" w:customStyle="1" w:styleId="GPSL1Schedulenumbered">
    <w:name w:val="GPS L1 Schedule numbered"/>
    <w:basedOn w:val="Normal"/>
    <w:rsid w:val="00417E73"/>
    <w:rPr>
      <w:rFonts w:asciiTheme="minorBidi" w:hAnsiTheme="minorBidi"/>
      <w:b/>
      <w:sz w:val="24"/>
    </w:rPr>
  </w:style>
  <w:style w:type="paragraph" w:customStyle="1" w:styleId="GPSL2numberedclause">
    <w:name w:val="GPS L2 numbered clause"/>
    <w:basedOn w:val="Normal"/>
    <w:rsid w:val="003D6C54"/>
    <w:pPr>
      <w:numPr>
        <w:ilvl w:val="1"/>
        <w:numId w:val="5"/>
      </w:numPr>
      <w:spacing w:before="120" w:after="120" w:line="240" w:lineRule="auto"/>
    </w:pPr>
    <w:rPr>
      <w:rFonts w:ascii="Arial" w:hAnsi="Arial"/>
      <w:sz w:val="24"/>
    </w:rPr>
  </w:style>
  <w:style w:type="paragraph" w:customStyle="1" w:styleId="GPSL3NUMBERED">
    <w:name w:val="GPS L3 NUMBERED"/>
    <w:basedOn w:val="Normal"/>
    <w:rsid w:val="003D6C54"/>
    <w:pPr>
      <w:numPr>
        <w:ilvl w:val="2"/>
        <w:numId w:val="5"/>
      </w:numPr>
      <w:spacing w:before="120" w:after="120" w:line="240" w:lineRule="auto"/>
    </w:pPr>
    <w:rPr>
      <w:rFonts w:asciiTheme="minorBidi" w:hAnsiTheme="minorBidi"/>
      <w:sz w:val="24"/>
    </w:rPr>
  </w:style>
  <w:style w:type="paragraph" w:customStyle="1" w:styleId="GPSL4numbered">
    <w:name w:val="GPS L4 numbered"/>
    <w:basedOn w:val="Normal"/>
    <w:rsid w:val="003D6C54"/>
    <w:pPr>
      <w:numPr>
        <w:ilvl w:val="3"/>
        <w:numId w:val="5"/>
      </w:numPr>
      <w:spacing w:before="120" w:after="120" w:line="240" w:lineRule="auto"/>
    </w:pPr>
    <w:rPr>
      <w:rFonts w:asciiTheme="minorBidi" w:hAnsiTheme="minorBidi"/>
      <w:sz w:val="24"/>
    </w:rPr>
  </w:style>
  <w:style w:type="paragraph" w:customStyle="1" w:styleId="GPSL5NUMBERED">
    <w:name w:val="GPS L5 NUMBERED"/>
    <w:basedOn w:val="Normal"/>
    <w:rsid w:val="003D6C54"/>
    <w:pPr>
      <w:numPr>
        <w:ilvl w:val="4"/>
        <w:numId w:val="5"/>
      </w:numPr>
      <w:spacing w:before="120" w:after="120" w:line="240" w:lineRule="auto"/>
    </w:pPr>
    <w:rPr>
      <w:rFonts w:asciiTheme="minorBidi" w:hAnsiTheme="minorBidi"/>
      <w:sz w:val="24"/>
    </w:rPr>
  </w:style>
  <w:style w:type="paragraph" w:customStyle="1" w:styleId="GPSL1Numbered">
    <w:name w:val="GPS L1 Numbered"/>
    <w:basedOn w:val="Normal"/>
    <w:rsid w:val="003D6C54"/>
    <w:pPr>
      <w:keepNext/>
      <w:numPr>
        <w:numId w:val="5"/>
      </w:numPr>
      <w:spacing w:before="120" w:after="240" w:line="240" w:lineRule="auto"/>
    </w:pPr>
    <w:rPr>
      <w:rFonts w:asciiTheme="minorBidi" w:hAnsiTheme="minorBidi"/>
      <w:b/>
      <w:sz w:val="24"/>
    </w:rPr>
  </w:style>
  <w:style w:type="numbering" w:customStyle="1" w:styleId="Definitions">
    <w:name w:val="Definitions"/>
    <w:uiPriority w:val="99"/>
    <w:rsid w:val="002003B4"/>
  </w:style>
  <w:style w:type="paragraph" w:customStyle="1" w:styleId="Level1">
    <w:name w:val="Level 1"/>
    <w:basedOn w:val="Normal"/>
    <w:next w:val="Normal"/>
    <w:qFormat/>
    <w:rsid w:val="002003B4"/>
    <w:pPr>
      <w:numPr>
        <w:numId w:val="8"/>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2003B4"/>
    <w:pPr>
      <w:numPr>
        <w:ilvl w:val="1"/>
      </w:numPr>
    </w:pPr>
    <w:rPr>
      <w:b w:val="0"/>
      <w:u w:val="none"/>
    </w:rPr>
  </w:style>
  <w:style w:type="paragraph" w:customStyle="1" w:styleId="Level3">
    <w:name w:val="Level 3"/>
    <w:basedOn w:val="Level2"/>
    <w:next w:val="Normal"/>
    <w:rsid w:val="002003B4"/>
    <w:pPr>
      <w:numPr>
        <w:ilvl w:val="2"/>
      </w:numPr>
      <w:tabs>
        <w:tab w:val="left" w:pos="1803"/>
      </w:tabs>
    </w:pPr>
  </w:style>
  <w:style w:type="paragraph" w:customStyle="1" w:styleId="Level4">
    <w:name w:val="Level 4"/>
    <w:basedOn w:val="Level3"/>
    <w:next w:val="Normal"/>
    <w:rsid w:val="002003B4"/>
    <w:pPr>
      <w:numPr>
        <w:ilvl w:val="3"/>
      </w:numPr>
    </w:pPr>
  </w:style>
  <w:style w:type="paragraph" w:customStyle="1" w:styleId="Level5">
    <w:name w:val="Level 5"/>
    <w:basedOn w:val="Level4"/>
    <w:next w:val="Normal"/>
    <w:rsid w:val="002003B4"/>
    <w:pPr>
      <w:numPr>
        <w:ilvl w:val="4"/>
      </w:numPr>
      <w:tabs>
        <w:tab w:val="left" w:pos="2523"/>
      </w:tabs>
    </w:pPr>
  </w:style>
  <w:style w:type="paragraph" w:customStyle="1" w:styleId="Level6">
    <w:name w:val="Level 6"/>
    <w:basedOn w:val="Level5"/>
    <w:rsid w:val="002003B4"/>
    <w:pPr>
      <w:numPr>
        <w:ilvl w:val="5"/>
      </w:numPr>
      <w:tabs>
        <w:tab w:val="clear" w:pos="2523"/>
      </w:tabs>
    </w:pPr>
  </w:style>
  <w:style w:type="paragraph" w:customStyle="1" w:styleId="AppendixText1">
    <w:name w:val="Appendix Text 1"/>
    <w:basedOn w:val="Normal"/>
    <w:next w:val="Normal"/>
    <w:rsid w:val="001D5A80"/>
    <w:pPr>
      <w:tabs>
        <w:tab w:val="num" w:pos="720"/>
      </w:tabs>
      <w:spacing w:before="100" w:line="240" w:lineRule="auto"/>
      <w:ind w:left="720" w:hanging="720"/>
    </w:pPr>
    <w:rPr>
      <w:rFonts w:ascii="Arial" w:eastAsia="Times New Roman" w:hAnsi="Arial" w:cs="Times New Roman"/>
      <w:b/>
      <w:sz w:val="24"/>
      <w:szCs w:val="24"/>
    </w:rPr>
  </w:style>
  <w:style w:type="paragraph" w:customStyle="1" w:styleId="AppendixText2">
    <w:name w:val="Appendix Text 2"/>
    <w:basedOn w:val="AppendixText1"/>
    <w:next w:val="Normal"/>
    <w:rsid w:val="001D5A80"/>
    <w:pPr>
      <w:numPr>
        <w:ilvl w:val="1"/>
      </w:numPr>
      <w:tabs>
        <w:tab w:val="num" w:pos="720"/>
      </w:tabs>
      <w:ind w:left="720" w:hanging="720"/>
    </w:pPr>
    <w:rPr>
      <w:b w:val="0"/>
    </w:rPr>
  </w:style>
  <w:style w:type="paragraph" w:customStyle="1" w:styleId="AppendixText3">
    <w:name w:val="Appendix Text 3"/>
    <w:basedOn w:val="Normal"/>
    <w:next w:val="Normal"/>
    <w:rsid w:val="001D5A80"/>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AppendixText4">
    <w:name w:val="Appendix Text 4"/>
    <w:basedOn w:val="Normal"/>
    <w:next w:val="Normal"/>
    <w:rsid w:val="001D5A80"/>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AppendixText5">
    <w:name w:val="Appendix Text 5"/>
    <w:basedOn w:val="Normal"/>
    <w:next w:val="Normal"/>
    <w:rsid w:val="001D5A80"/>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paragraph" w:customStyle="1" w:styleId="AppendixText6">
    <w:name w:val="Appendix Text 6"/>
    <w:basedOn w:val="AppendixText5"/>
    <w:rsid w:val="001D5A80"/>
    <w:pPr>
      <w:numPr>
        <w:ilvl w:val="5"/>
      </w:numPr>
      <w:tabs>
        <w:tab w:val="num" w:pos="3600"/>
      </w:tabs>
      <w:ind w:left="3600" w:hanging="720"/>
    </w:pPr>
  </w:style>
  <w:style w:type="paragraph" w:customStyle="1" w:styleId="Default">
    <w:name w:val="Default"/>
    <w:rsid w:val="0004542F"/>
    <w:pPr>
      <w:autoSpaceDE w:val="0"/>
      <w:autoSpaceDN w:val="0"/>
      <w:adjustRightInd w:val="0"/>
      <w:spacing w:after="0" w:line="240" w:lineRule="auto"/>
    </w:pPr>
    <w:rPr>
      <w:rFonts w:ascii="Verdana" w:hAnsi="Verdana" w:cs="Verdana"/>
      <w:color w:val="000000"/>
      <w:sz w:val="24"/>
      <w:szCs w:val="24"/>
    </w:rPr>
  </w:style>
  <w:style w:type="table" w:customStyle="1" w:styleId="5">
    <w:name w:val="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code-of-data-matching-practice-for-national-fraud-initiative" TargetMode="External"/><Relationship Id="rId4" Type="http://schemas.openxmlformats.org/officeDocument/2006/relationships/settings" Target="settings.xml"/><Relationship Id="rId9" Type="http://schemas.openxmlformats.org/officeDocument/2006/relationships/hyperlink" Target="https://www.gov.uk/government/publications/fair-processing-national-fraud-initiative/fair-processing-level-3-full-text"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FpLLeziuWmwqs53Cf+Tf1S67vg==">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3827</Words>
  <Characters>21815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Sarah Mulligan</cp:lastModifiedBy>
  <cp:revision>3</cp:revision>
  <dcterms:created xsi:type="dcterms:W3CDTF">2024-10-24T10:38:00Z</dcterms:created>
  <dcterms:modified xsi:type="dcterms:W3CDTF">2024-10-24T10:46:00Z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c00c6a10-b528-48bc-8cab-d1620ab86fe0</vt:lpwstr>
  </property>
</Properties>
</file>